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4702" w14:textId="77777777" w:rsidR="003B5EAC" w:rsidRDefault="003B5EAC" w:rsidP="003B5EA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C6C5D0" w14:textId="77777777" w:rsidR="003B5EAC" w:rsidRPr="00B32EB3" w:rsidRDefault="003B5EAC" w:rsidP="003B5EA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</w:t>
      </w:r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</w:p>
    <w:p w14:paraId="7A9F64DF" w14:textId="77777777" w:rsidR="003B5EAC" w:rsidRPr="00B32EB3" w:rsidRDefault="003B5EAC" w:rsidP="003B5EA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4FEDB493" w14:textId="77777777" w:rsidR="003B5EAC" w:rsidRPr="00A66F9A" w:rsidRDefault="003B5EAC" w:rsidP="003B5EA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Підтвердження відповідності УЧАСНИКА</w:t>
      </w:r>
      <w:r w:rsidRPr="00223C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та ПЕРЕМОЖЦЯ</w:t>
      </w:r>
    </w:p>
    <w:p w14:paraId="6D354517" w14:textId="77777777" w:rsidR="003B5EAC" w:rsidRPr="00A66F9A" w:rsidRDefault="003B5EAC" w:rsidP="003B5EA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(в тому числі для об’єднання учасників як учасника процедури</w:t>
      </w: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)  </w:t>
      </w:r>
    </w:p>
    <w:p w14:paraId="2FA86D75" w14:textId="77777777" w:rsidR="003B5EAC" w:rsidRPr="00A66F9A" w:rsidRDefault="003B5EAC" w:rsidP="003B5EAC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66F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вимогам, визначеним у пункті 47 Особливостей</w:t>
      </w:r>
    </w:p>
    <w:tbl>
      <w:tblPr>
        <w:tblW w:w="10348" w:type="dxa"/>
        <w:tblInd w:w="-467" w:type="dxa"/>
        <w:tblLayout w:type="fixed"/>
        <w:tblLook w:val="0400" w:firstRow="0" w:lastRow="0" w:firstColumn="0" w:lastColumn="0" w:noHBand="0" w:noVBand="1"/>
      </w:tblPr>
      <w:tblGrid>
        <w:gridCol w:w="425"/>
        <w:gridCol w:w="3119"/>
        <w:gridCol w:w="3485"/>
        <w:gridCol w:w="3319"/>
      </w:tblGrid>
      <w:tr w:rsidR="003B5EAC" w:rsidRPr="00A66F9A" w14:paraId="3D26440D" w14:textId="77777777" w:rsidTr="005E0F60">
        <w:trPr>
          <w:trHeight w:val="825"/>
          <w:tblHeader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DCC5" w14:textId="77777777" w:rsidR="003B5EAC" w:rsidRPr="00A66F9A" w:rsidRDefault="003B5EAC" w:rsidP="005E0F60">
            <w:pPr>
              <w:ind w:left="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6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09D16569" w14:textId="77777777" w:rsidR="003B5EAC" w:rsidRPr="00A66F9A" w:rsidRDefault="003B5EAC" w:rsidP="005E0F60">
            <w:pPr>
              <w:ind w:left="10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6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C19B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закупівлі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D155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закупівлі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27EC5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 строк,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чотири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повідомлення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намір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укласти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договір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замовнику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закупівель:</w:t>
            </w:r>
          </w:p>
        </w:tc>
      </w:tr>
      <w:tr w:rsidR="003B5EAC" w:rsidRPr="00A66F9A" w14:paraId="43E8A164" w14:textId="77777777" w:rsidTr="005E0F60">
        <w:trPr>
          <w:trHeight w:val="17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839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E0D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незаперечні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докази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службовій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посадовій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іншого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органу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винагороду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 будь</w:t>
            </w:r>
            <w:proofErr w:type="gram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наймання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роботу,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цінна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річ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 метою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вплинути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599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</w:t>
            </w:r>
            <w:proofErr w:type="spellEnd"/>
          </w:p>
          <w:p w14:paraId="1D7DD42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037B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2F76AC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EAC" w:rsidRPr="00A66F9A" w14:paraId="495B036D" w14:textId="77777777" w:rsidTr="005E0F60">
        <w:trPr>
          <w:trHeight w:val="128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4B6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77B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внесено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9402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DE5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1C8C10BA" w14:textId="77777777" w:rsidTr="005E0F60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599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E74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8DD6ED3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4FB2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118B3E9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ED52B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торгів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обмеженим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/яка оформлена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</w:t>
            </w:r>
          </w:p>
        </w:tc>
      </w:tr>
      <w:tr w:rsidR="003B5EAC" w:rsidRPr="00A66F9A" w14:paraId="3031BAE2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70E8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5D1B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останніх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притягувався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4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пунктом 1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Закону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антиконкурентних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узгоджених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спотворення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B311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5EAC8058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A2D6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A7B0A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EAC" w:rsidRPr="00A66F9A" w14:paraId="5E633849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485D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16F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знято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порядку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9A0D878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40EC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629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</w:p>
        </w:tc>
      </w:tr>
      <w:tr w:rsidR="003B5EAC" w:rsidRPr="00A66F9A" w14:paraId="5C4B3712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24E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B0B3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коштів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знято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8365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14:paraId="783B6E4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2FA5B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</w:p>
        </w:tc>
      </w:tr>
      <w:tr w:rsidR="003B5EAC" w:rsidRPr="00A66F9A" w14:paraId="3451CBB0" w14:textId="77777777" w:rsidTr="005E0F60">
        <w:trPr>
          <w:trHeight w:val="12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885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C43B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іншими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D59D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BB21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44326938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EB97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D2B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нього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процедура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FF5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66BCD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5481622C" w14:textId="77777777" w:rsidTr="005E0F60">
        <w:trPr>
          <w:trHeight w:val="22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69B3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E87F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пунктом 9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Закону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осіб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C43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252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2CB0D215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0861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3546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вартість закупівлі товару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млн.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числі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лотом)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9593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7BCFC65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лише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вартість закупівлі товару 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послуги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дорівнює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перевищує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20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мільйонів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гривень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(у тому </w:t>
            </w:r>
            <w:proofErr w:type="spellStart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числі</w:t>
            </w:r>
            <w:proofErr w:type="spellEnd"/>
            <w:r w:rsidRPr="00A66F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за лотом))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A04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2E5BCE7E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470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768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бенефіціарний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власник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акціонер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—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є особою,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заборони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України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2DB4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E1442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278E2FB5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7931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FB5F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людьми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2DF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закупівель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17C9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витяг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/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притягується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незнятої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непогашеної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розшуку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5EAC" w:rsidRPr="00A66F9A" w14:paraId="22775923" w14:textId="77777777" w:rsidTr="005E0F60">
        <w:trPr>
          <w:trHeight w:val="44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FEFF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C5C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цьому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вважає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таке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(абзац 14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951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A9E5DCE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раніше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договору;</w:t>
            </w:r>
          </w:p>
          <w:p w14:paraId="68817D41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AAF0326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пункту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Особливсотей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торгах.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AF28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формі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яким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 не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було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трьох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дострокового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49047004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4A252A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</w:p>
          <w:p w14:paraId="1980A2B0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EDF906" w14:textId="77777777" w:rsidR="003B5EAC" w:rsidRPr="00A66F9A" w:rsidRDefault="003B5EAC" w:rsidP="005E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абзаці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пункті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надати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вжиття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своєї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закупівлі. Для цього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він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повинен довести,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A66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7A3543A" w14:textId="77777777" w:rsidR="003B5EAC" w:rsidRPr="00A66F9A" w:rsidRDefault="003B5EAC" w:rsidP="003B5EAC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</w:t>
      </w: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</w:t>
      </w:r>
      <w:r w:rsidRPr="00A66F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E31DF9" w14:textId="77777777" w:rsidR="003B5EAC" w:rsidRPr="00A66F9A" w:rsidRDefault="003B5EAC" w:rsidP="003B5E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37019853" w14:textId="77777777" w:rsidR="003B5EAC" w:rsidRPr="00A66F9A" w:rsidRDefault="003B5EAC" w:rsidP="003B5EA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та/або 5 та/або 6 та/або 12 та/або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14:paraId="533D6AD6" w14:textId="77777777" w:rsidR="003B5EAC" w:rsidRPr="00A66F9A" w:rsidRDefault="003B5EAC" w:rsidP="003B5EA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</w:pPr>
      <w:r w:rsidRPr="00A66F9A"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Примітки:</w:t>
      </w:r>
      <w:r w:rsidRPr="00A66F9A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A66F9A">
        <w:rPr>
          <w:rFonts w:ascii="Times New Roman" w:hAnsi="Times New Roman" w:cs="Times New Roman"/>
          <w:bCs/>
          <w:i/>
          <w:iCs/>
          <w:sz w:val="24"/>
          <w:szCs w:val="24"/>
          <w:lang w:val="uk-UA" w:eastAsia="ru-RU"/>
        </w:rPr>
        <w:t>У разі якщо учасник або переможець не повинен складати або відповідно до норм чинного законодавства (у разі подання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власноручним підписом уповноваженої особи учасника/переможця/учасника-нерезидента/переможця-нерезидента й завірений печаткою (у разі наявності), в якому зазначає законодавчі підстави ненадання відповідних документів.</w:t>
      </w:r>
    </w:p>
    <w:p w14:paraId="763886E7" w14:textId="77777777" w:rsidR="003B5EAC" w:rsidRDefault="003B5EAC" w:rsidP="003B5EA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937C7E" w14:textId="77777777" w:rsidR="001B777C" w:rsidRDefault="001B777C">
      <w:bookmarkStart w:id="0" w:name="_GoBack"/>
      <w:bookmarkEnd w:id="0"/>
    </w:p>
    <w:sectPr w:rsidR="001B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7C"/>
    <w:rsid w:val="001B777C"/>
    <w:rsid w:val="003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4BFA-DE58-4D4B-9811-61232D0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E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2023-12-18T11:24:00Z</dcterms:created>
  <dcterms:modified xsi:type="dcterms:W3CDTF">2023-12-18T11:24:00Z</dcterms:modified>
</cp:coreProperties>
</file>