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9763FD" w:rsidRPr="00676A2D">
        <w:rPr>
          <w:b/>
          <w:color w:val="00000A"/>
          <w:lang w:eastAsia="zh-CN"/>
        </w:rPr>
        <w:t>ДК 021:2015</w:t>
      </w:r>
      <w:r w:rsidR="00A21B5B" w:rsidRPr="00676A2D">
        <w:rPr>
          <w:b/>
          <w:lang w:eastAsia="en-US"/>
        </w:rPr>
        <w:t xml:space="preserve"> </w:t>
      </w:r>
      <w:r w:rsidR="00676A2D" w:rsidRPr="00676A2D">
        <w:rPr>
          <w:b/>
          <w:lang w:eastAsia="en-US"/>
        </w:rPr>
        <w:t>336</w:t>
      </w:r>
      <w:r w:rsidR="00022751">
        <w:rPr>
          <w:b/>
          <w:lang w:eastAsia="en-US"/>
        </w:rPr>
        <w:t>0</w:t>
      </w:r>
      <w:r w:rsidR="00676A2D" w:rsidRPr="00676A2D">
        <w:rPr>
          <w:b/>
          <w:lang w:eastAsia="en-US"/>
        </w:rPr>
        <w:t>0000-</w:t>
      </w:r>
      <w:r w:rsidR="00022751">
        <w:rPr>
          <w:b/>
          <w:lang w:eastAsia="en-US"/>
        </w:rPr>
        <w:t>6 фармацевтична продукція</w:t>
      </w:r>
      <w:r w:rsidR="00F55F8F">
        <w:rPr>
          <w:b/>
          <w:lang w:eastAsia="en-US"/>
        </w:rPr>
        <w:t xml:space="preserve"> (</w:t>
      </w:r>
      <w:proofErr w:type="spellStart"/>
      <w:r w:rsidR="00FB06A2" w:rsidRPr="00FB06A2">
        <w:rPr>
          <w:b/>
          <w:lang w:eastAsia="en-US"/>
        </w:rPr>
        <w:t>Фуросемід,розчин</w:t>
      </w:r>
      <w:proofErr w:type="spellEnd"/>
      <w:r w:rsidR="00FB06A2" w:rsidRPr="00FB06A2">
        <w:rPr>
          <w:b/>
          <w:lang w:eastAsia="en-US"/>
        </w:rPr>
        <w:t xml:space="preserve"> для ін'єкцій 10мг/мл ампули №10, </w:t>
      </w:r>
      <w:proofErr w:type="spellStart"/>
      <w:r w:rsidR="00FB06A2" w:rsidRPr="00FB06A2">
        <w:rPr>
          <w:b/>
          <w:lang w:eastAsia="en-US"/>
        </w:rPr>
        <w:t>Каптоприл</w:t>
      </w:r>
      <w:proofErr w:type="spellEnd"/>
      <w:r w:rsidR="00FB06A2" w:rsidRPr="00FB06A2">
        <w:rPr>
          <w:b/>
          <w:lang w:eastAsia="en-US"/>
        </w:rPr>
        <w:t xml:space="preserve">, таблетки по 25 мг, №20, </w:t>
      </w:r>
      <w:proofErr w:type="spellStart"/>
      <w:r w:rsidR="00FB06A2" w:rsidRPr="00FB06A2">
        <w:rPr>
          <w:b/>
          <w:lang w:eastAsia="en-US"/>
        </w:rPr>
        <w:t>Дротаверин</w:t>
      </w:r>
      <w:proofErr w:type="spellEnd"/>
      <w:r w:rsidR="00FB06A2" w:rsidRPr="00FB06A2">
        <w:rPr>
          <w:b/>
          <w:lang w:eastAsia="en-US"/>
        </w:rPr>
        <w:t xml:space="preserve"> розчин для ін'єкцій 20 мг/мл, по 2 мл в ампулі, </w:t>
      </w:r>
      <w:proofErr w:type="spellStart"/>
      <w:r w:rsidR="00FB06A2" w:rsidRPr="00FB06A2">
        <w:rPr>
          <w:b/>
          <w:lang w:eastAsia="en-US"/>
        </w:rPr>
        <w:t>Диклофенак</w:t>
      </w:r>
      <w:proofErr w:type="spellEnd"/>
      <w:r w:rsidR="00FB06A2" w:rsidRPr="00FB06A2">
        <w:rPr>
          <w:b/>
          <w:lang w:eastAsia="en-US"/>
        </w:rPr>
        <w:t xml:space="preserve"> розчин для ін`єкцій 25 мг/мл №5, </w:t>
      </w:r>
      <w:proofErr w:type="spellStart"/>
      <w:r w:rsidR="00FB06A2" w:rsidRPr="00FB06A2">
        <w:rPr>
          <w:b/>
          <w:lang w:eastAsia="en-US"/>
        </w:rPr>
        <w:t>Ібупрофен</w:t>
      </w:r>
      <w:proofErr w:type="spellEnd"/>
      <w:r w:rsidR="00FB06A2" w:rsidRPr="00FB06A2">
        <w:rPr>
          <w:b/>
          <w:lang w:eastAsia="en-US"/>
        </w:rPr>
        <w:t xml:space="preserve"> таблетки по 400 мг №10, </w:t>
      </w:r>
      <w:proofErr w:type="spellStart"/>
      <w:r w:rsidR="00FB06A2" w:rsidRPr="00FB06A2">
        <w:rPr>
          <w:b/>
          <w:lang w:eastAsia="en-US"/>
        </w:rPr>
        <w:t>Озельтамівір</w:t>
      </w:r>
      <w:proofErr w:type="spellEnd"/>
      <w:r w:rsidR="00FB06A2" w:rsidRPr="00FB06A2">
        <w:rPr>
          <w:b/>
          <w:lang w:eastAsia="en-US"/>
        </w:rPr>
        <w:t xml:space="preserve"> капсули, 75 мг №10</w:t>
      </w:r>
      <w:r w:rsidR="0068291B">
        <w:rPr>
          <w:b/>
          <w:lang w:eastAsia="en-US"/>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w:t>
      </w:r>
      <w:r w:rsidRPr="00F47669">
        <w:rPr>
          <w:lang w:eastAsia="en-US"/>
        </w:rPr>
        <w:lastRenderedPageBreak/>
        <w:t xml:space="preserve">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BE6EEB">
        <w:rPr>
          <w:b/>
          <w:lang w:eastAsia="en-US"/>
        </w:rPr>
        <w:t>0</w:t>
      </w:r>
      <w:r w:rsidR="00E81733">
        <w:rPr>
          <w:b/>
          <w:lang w:eastAsia="en-US"/>
        </w:rPr>
        <w:t>4</w:t>
      </w:r>
      <w:bookmarkStart w:id="0" w:name="_GoBack"/>
      <w:bookmarkEnd w:id="0"/>
      <w:r w:rsidR="009763FD">
        <w:rPr>
          <w:lang w:eastAsia="en-US"/>
        </w:rPr>
        <w:t xml:space="preserve"> </w:t>
      </w:r>
      <w:r w:rsidR="0068291B">
        <w:rPr>
          <w:lang w:eastAsia="en-US"/>
        </w:rPr>
        <w:t>березня</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r w:rsidR="00471EBA">
        <w:rPr>
          <w:b/>
          <w:lang w:eastAsia="en-US"/>
        </w:rPr>
        <w:t>, але в повному обсязі до вказаної дати</w:t>
      </w:r>
      <w:r w:rsidR="009763FD">
        <w:rPr>
          <w:b/>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lastRenderedPageBreak/>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lastRenderedPageBreak/>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 xml:space="preserve">язань за цим Договором може настати такий правовий </w:t>
      </w:r>
      <w:r w:rsidRPr="00F47669">
        <w:lastRenderedPageBreak/>
        <w:t>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lastRenderedPageBreak/>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 xml:space="preserve">10.2. Закінчення строку дії цього Договору не звільняє Сторони від відповідальності за його </w:t>
      </w:r>
      <w:r w:rsidRPr="00F47669">
        <w:lastRenderedPageBreak/>
        <w:t>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w:t>
      </w:r>
      <w:r w:rsidR="000F02E9">
        <w:lastRenderedPageBreak/>
        <w:t xml:space="preserve">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w:t>
      </w:r>
      <w:r>
        <w:lastRenderedPageBreak/>
        <w:t>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w:t>
      </w:r>
      <w:r w:rsidRPr="00787096">
        <w:lastRenderedPageBreak/>
        <w:t xml:space="preserve">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r w:rsidR="00FB06A2">
              <w:t xml:space="preserve"> </w:t>
            </w:r>
            <w:r w:rsidR="00FB06A2" w:rsidRPr="00FB06A2">
              <w:t>barlikarnya@ukr.net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72781D">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FB06A2">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FB06A2" w:rsidRDefault="00C24EC2" w:rsidP="00C24EC2">
            <w:pPr>
              <w:widowControl w:val="0"/>
            </w:pPr>
            <w:r w:rsidRPr="00C24EC2">
              <w:lastRenderedPageBreak/>
              <w:t>E-</w:t>
            </w:r>
            <w:proofErr w:type="spellStart"/>
            <w:r w:rsidRPr="00C24EC2">
              <w:t>mail</w:t>
            </w:r>
            <w:proofErr w:type="spellEnd"/>
            <w:r w:rsidRPr="00C24EC2">
              <w:t>:</w:t>
            </w:r>
            <w:proofErr w:type="spellStart"/>
            <w:r w:rsidR="00FB06A2">
              <w:rPr>
                <w:lang w:val="en-US"/>
              </w:rPr>
              <w:t>barlikarnya</w:t>
            </w:r>
            <w:proofErr w:type="spellEnd"/>
            <w:r w:rsidR="00FB06A2" w:rsidRPr="00FB06A2">
              <w:t>@</w:t>
            </w:r>
            <w:proofErr w:type="spellStart"/>
            <w:r w:rsidR="00FB06A2">
              <w:rPr>
                <w:lang w:val="en-US"/>
              </w:rPr>
              <w:t>ukr</w:t>
            </w:r>
            <w:proofErr w:type="spellEnd"/>
            <w:r w:rsidR="00FB06A2" w:rsidRPr="00FB06A2">
              <w:t>.</w:t>
            </w:r>
            <w:r w:rsidR="00FB06A2">
              <w:rPr>
                <w:lang w:val="en-US"/>
              </w:rPr>
              <w:t>net</w:t>
            </w:r>
          </w:p>
        </w:tc>
        <w:tc>
          <w:tcPr>
            <w:tcW w:w="2429" w:type="pct"/>
          </w:tcPr>
          <w:p w:rsidR="00C24EC2" w:rsidRPr="009C62C7" w:rsidRDefault="00C24EC2" w:rsidP="00C24EC2">
            <w:pPr>
              <w:widowControl w:val="0"/>
              <w:jc w:val="both"/>
            </w:pPr>
            <w:r w:rsidRPr="009C62C7">
              <w:lastRenderedPageBreak/>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lastRenderedPageBreak/>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lastRenderedPageBreak/>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85" w:rsidRDefault="001D5785" w:rsidP="00F5666D">
      <w:r>
        <w:separator/>
      </w:r>
    </w:p>
  </w:endnote>
  <w:endnote w:type="continuationSeparator" w:id="0">
    <w:p w:rsidR="001D5785" w:rsidRDefault="001D5785"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85" w:rsidRDefault="001D5785" w:rsidP="00F5666D">
      <w:r>
        <w:separator/>
      </w:r>
    </w:p>
  </w:footnote>
  <w:footnote w:type="continuationSeparator" w:id="0">
    <w:p w:rsidR="001D5785" w:rsidRDefault="001D5785"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E81733" w:rsidRPr="00E81733">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D578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62716"/>
    <w:rsid w:val="00470023"/>
    <w:rsid w:val="00471EBA"/>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8291B"/>
    <w:rsid w:val="006B32B5"/>
    <w:rsid w:val="006C7266"/>
    <w:rsid w:val="00707F5F"/>
    <w:rsid w:val="00724740"/>
    <w:rsid w:val="00724784"/>
    <w:rsid w:val="00724955"/>
    <w:rsid w:val="0072781D"/>
    <w:rsid w:val="00752B70"/>
    <w:rsid w:val="00762263"/>
    <w:rsid w:val="00787096"/>
    <w:rsid w:val="00792E57"/>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714"/>
    <w:rsid w:val="00AF5F03"/>
    <w:rsid w:val="00B06859"/>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81733"/>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B06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63C7-7DD0-4EC7-9CD9-F7956E44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23691</Words>
  <Characters>13504</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20</cp:revision>
  <cp:lastPrinted>2022-12-23T12:05:00Z</cp:lastPrinted>
  <dcterms:created xsi:type="dcterms:W3CDTF">2023-12-21T07:02:00Z</dcterms:created>
  <dcterms:modified xsi:type="dcterms:W3CDTF">2024-02-21T14:12:00Z</dcterms:modified>
</cp:coreProperties>
</file>