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49F1" w14:textId="7DB318CA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6500"/>
        <w:jc w:val="right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Д</w:t>
      </w:r>
      <w:r w:rsidR="00FA6DB3">
        <w:rPr>
          <w:b/>
          <w:color w:val="000000"/>
          <w:sz w:val="24"/>
          <w:szCs w:val="24"/>
        </w:rPr>
        <w:t>одаток</w:t>
      </w:r>
      <w:r>
        <w:rPr>
          <w:b/>
          <w:color w:val="000000"/>
          <w:sz w:val="24"/>
          <w:szCs w:val="24"/>
        </w:rPr>
        <w:t xml:space="preserve"> 6</w:t>
      </w:r>
    </w:p>
    <w:p w14:paraId="5B7D90AE" w14:textId="77777777" w:rsidR="00FA6DB3" w:rsidRPr="00FA6DB3" w:rsidRDefault="00FA6DB3" w:rsidP="00FA6D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 w:rsidRPr="00FA6DB3">
        <w:rPr>
          <w:color w:val="000000"/>
          <w:sz w:val="16"/>
          <w:szCs w:val="16"/>
        </w:rPr>
        <w:t>до тендерної документації</w:t>
      </w:r>
    </w:p>
    <w:p w14:paraId="7B24576C" w14:textId="1690ADA7" w:rsidR="00FA6DB3" w:rsidRPr="00FA6DB3" w:rsidRDefault="00FA6DB3" w:rsidP="00FA6D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 w:rsidRPr="00FA6DB3">
        <w:rPr>
          <w:color w:val="000000"/>
          <w:sz w:val="16"/>
          <w:szCs w:val="16"/>
        </w:rPr>
        <w:t xml:space="preserve">Дизельне паливо, </w:t>
      </w:r>
      <w:bookmarkStart w:id="0" w:name="_GoBack"/>
      <w:bookmarkEnd w:id="0"/>
      <w:r w:rsidRPr="00FA6DB3">
        <w:rPr>
          <w:color w:val="000000"/>
          <w:sz w:val="16"/>
          <w:szCs w:val="16"/>
        </w:rPr>
        <w:t>бензин</w:t>
      </w:r>
    </w:p>
    <w:p w14:paraId="4EC6DBF5" w14:textId="174F56FB" w:rsidR="008056C6" w:rsidRDefault="00FA6DB3" w:rsidP="00FA6D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 w:rsidRPr="00FA6DB3">
        <w:rPr>
          <w:color w:val="000000"/>
          <w:sz w:val="16"/>
          <w:szCs w:val="16"/>
        </w:rPr>
        <w:t>(ДК 021:2015 «Єдиний закупівельний словник» – 09130000-9 - нафта і дистиляти)</w:t>
      </w:r>
    </w:p>
    <w:p w14:paraId="59C8A583" w14:textId="77777777" w:rsidR="00FA6DB3" w:rsidRPr="00FA6DB3" w:rsidRDefault="00FA6DB3" w:rsidP="00FA6D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14:paraId="3DF11727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Перелік документів для переможця процедури закупівель, що надаються для підтвердження відсутності підстав визначених пунктом 47 Особливостей та документи згідно вимог тендерної документації</w:t>
      </w:r>
    </w:p>
    <w:p w14:paraId="65120224" w14:textId="77777777" w:rsidR="008056C6" w:rsidRDefault="00A95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</w:rPr>
      </w:pPr>
      <w:r>
        <w:rPr>
          <w:b/>
          <w:i/>
          <w:color w:val="000000"/>
        </w:rPr>
        <w:t>Переможець</w:t>
      </w:r>
      <w:r>
        <w:rPr>
          <w:i/>
          <w:color w:val="000000"/>
        </w:rPr>
        <w:t xml:space="preserve"> процедури закупівлі у строк, що не перевищує </w:t>
      </w:r>
      <w:r>
        <w:rPr>
          <w:b/>
          <w:i/>
          <w:color w:val="000000"/>
        </w:rPr>
        <w:t>чотири дні</w:t>
      </w:r>
      <w:r>
        <w:rPr>
          <w:i/>
          <w:color w:val="00000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і в абзаці чотирнадцятому  </w:t>
      </w:r>
      <w:r>
        <w:rPr>
          <w:b/>
          <w:i/>
          <w:color w:val="000000"/>
        </w:rPr>
        <w:t xml:space="preserve">пункту 47 Особливостей </w:t>
      </w:r>
      <w:r>
        <w:rPr>
          <w:i/>
          <w:color w:val="000000"/>
        </w:rPr>
        <w:t xml:space="preserve">та документи згідно вимог тендерної документації, а саме: </w:t>
      </w:r>
    </w:p>
    <w:tbl>
      <w:tblPr>
        <w:tblStyle w:val="afc"/>
        <w:tblpPr w:leftFromText="180" w:rightFromText="180" w:vertAnchor="text" w:tblpX="266" w:tblpY="189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9055"/>
      </w:tblGrid>
      <w:tr w:rsidR="008056C6" w14:paraId="5871171E" w14:textId="77777777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90A26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95" w:firstLine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7434C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Документ </w:t>
            </w:r>
            <w:r>
              <w:rPr>
                <w:color w:val="000000"/>
              </w:rPr>
              <w:t xml:space="preserve">, що підтверджує відсутність підстави, визначеної </w:t>
            </w:r>
            <w:r>
              <w:rPr>
                <w:i/>
                <w:color w:val="000000"/>
              </w:rPr>
              <w:t>підпунктом 3 пункту 47 Особливостей</w:t>
            </w:r>
            <w:r>
              <w:rPr>
                <w:color w:val="000000"/>
              </w:rPr>
              <w:t xml:space="preserve">, а саме учасник надає </w:t>
            </w:r>
            <w:r>
              <w:rPr>
                <w:b/>
                <w:color w:val="000000"/>
              </w:rPr>
              <w:t>інформаційну  довідку</w:t>
            </w:r>
            <w:r>
              <w:rPr>
                <w:color w:val="000000"/>
              </w:rPr>
              <w:t xml:space="preserve"> з Єдиного державного реєстру осіб, на: </w:t>
            </w:r>
          </w:p>
          <w:p w14:paraId="5C1D9F3D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керівника учасника процедури закупівлі, фізичну (уповноважену)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особу яка є учасником процедури закупівлі</w:t>
            </w:r>
            <w:r>
              <w:rPr>
                <w:color w:val="000000"/>
              </w:rPr>
              <w:t xml:space="preserve">, які вчинили корупційні або пов’язані з корупцією правопорушення за посиланням </w:t>
            </w:r>
            <w:hyperlink r:id="rId7">
              <w:r>
                <w:rPr>
                  <w:b/>
                  <w:color w:val="000000"/>
                </w:rPr>
                <w:t>https://corruptinfo.nazk.gov.ua/reference/getpersonalreference/individual</w:t>
              </w:r>
            </w:hyperlink>
          </w:p>
          <w:p w14:paraId="7772BED3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!</w:t>
            </w:r>
            <w:r>
              <w:rPr>
                <w:i/>
                <w:color w:val="000000"/>
              </w:rPr>
              <w:t xml:space="preserve"> Зазначений документ </w:t>
            </w:r>
            <w:r>
              <w:rPr>
                <w:b/>
                <w:i/>
                <w:color w:val="000000"/>
              </w:rPr>
              <w:t>повинен містити</w:t>
            </w:r>
            <w:r>
              <w:rPr>
                <w:i/>
                <w:color w:val="000000"/>
              </w:rPr>
              <w:t xml:space="preserve"> реквізити для перевірки, зокрема </w:t>
            </w:r>
            <w:r>
              <w:rPr>
                <w:b/>
                <w:i/>
                <w:color w:val="000000"/>
              </w:rPr>
              <w:t>електронний підпис</w:t>
            </w:r>
            <w:r>
              <w:rPr>
                <w:i/>
                <w:color w:val="000000"/>
              </w:rPr>
              <w:t xml:space="preserve"> та/або </w:t>
            </w:r>
            <w:r>
              <w:rPr>
                <w:b/>
                <w:i/>
                <w:color w:val="000000"/>
              </w:rPr>
              <w:t>печатку органу</w:t>
            </w:r>
            <w:r>
              <w:rPr>
                <w:i/>
                <w:color w:val="000000"/>
              </w:rPr>
              <w:t>, яким видано документ.</w:t>
            </w:r>
          </w:p>
          <w:p w14:paraId="080F926D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" w:right="108"/>
              <w:jc w:val="both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Дата</w:t>
            </w:r>
            <w:r>
              <w:rPr>
                <w:color w:val="000000"/>
              </w:rPr>
              <w:t xml:space="preserve"> документа повинна бути </w:t>
            </w:r>
            <w:r>
              <w:rPr>
                <w:b/>
                <w:color w:val="000000"/>
              </w:rPr>
              <w:t>не раніше</w:t>
            </w:r>
            <w:r>
              <w:rPr>
                <w:color w:val="000000"/>
              </w:rPr>
              <w:t xml:space="preserve"> дати оприлюдненого в електронній системі закупівель  </w:t>
            </w:r>
            <w:r>
              <w:rPr>
                <w:b/>
                <w:color w:val="000000"/>
              </w:rPr>
              <w:t xml:space="preserve">оголошення </w:t>
            </w:r>
            <w:r>
              <w:rPr>
                <w:color w:val="000000"/>
              </w:rPr>
              <w:t>про проведення даної закупівлі.</w:t>
            </w:r>
          </w:p>
        </w:tc>
      </w:tr>
      <w:tr w:rsidR="008056C6" w14:paraId="319CDD71" w14:textId="77777777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0CA98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95" w:firstLine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8E3E4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Документ  (ВИТЯГ</w:t>
            </w:r>
            <w:r>
              <w:rPr>
                <w:color w:val="000000"/>
              </w:rPr>
              <w:t xml:space="preserve"> ) з інформаційно-аналітичної системи «Облік відомостей про притягнення особи до кримінальної відповідальності та наявності судимості», що підтверджує відсутність підстав, визначених </w:t>
            </w:r>
            <w:r>
              <w:rPr>
                <w:i/>
                <w:color w:val="000000"/>
              </w:rPr>
              <w:t>підпунктами 5, 6 та 12 пункту 47 Особливостей</w:t>
            </w:r>
            <w:r>
              <w:rPr>
                <w:color w:val="000000"/>
              </w:rPr>
              <w:t xml:space="preserve"> -  на:</w:t>
            </w:r>
          </w:p>
          <w:p w14:paraId="360B5DEC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фізичну (уповноважену) особу, яка є учасником процедури закупівлі, та керівника учасника процедури закупівлі,</w:t>
            </w:r>
            <w:r>
              <w:rPr>
                <w:color w:val="000000"/>
              </w:rPr>
              <w:t xml:space="preserve"> за посиланням </w:t>
            </w:r>
            <w:hyperlink r:id="rId8">
              <w:r>
                <w:rPr>
                  <w:b/>
                  <w:color w:val="000000"/>
                </w:rPr>
                <w:t>https://vytiah.mvs.gov.ua/app/landing</w:t>
              </w:r>
            </w:hyperlink>
            <w:r>
              <w:rPr>
                <w:color w:val="000000"/>
              </w:rPr>
              <w:t xml:space="preserve"> </w:t>
            </w:r>
          </w:p>
          <w:p w14:paraId="6D1EF422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" w:right="108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Витяг </w:t>
            </w:r>
            <w:r>
              <w:rPr>
                <w:b/>
                <w:i/>
                <w:color w:val="000000"/>
              </w:rPr>
              <w:t>повинен містити реквізити</w:t>
            </w:r>
            <w:r>
              <w:rPr>
                <w:i/>
                <w:color w:val="000000"/>
              </w:rPr>
              <w:t xml:space="preserve"> для перевірки, зокрема </w:t>
            </w:r>
            <w:r>
              <w:rPr>
                <w:b/>
                <w:i/>
                <w:color w:val="000000"/>
              </w:rPr>
              <w:t>QR-код</w:t>
            </w:r>
            <w:r>
              <w:rPr>
                <w:i/>
                <w:color w:val="000000"/>
              </w:rPr>
              <w:t xml:space="preserve"> та/або номер та </w:t>
            </w:r>
            <w:r>
              <w:rPr>
                <w:b/>
                <w:i/>
                <w:color w:val="000000"/>
              </w:rPr>
              <w:t>електронний  підпис</w:t>
            </w:r>
            <w:r>
              <w:rPr>
                <w:i/>
                <w:color w:val="000000"/>
              </w:rPr>
              <w:t xml:space="preserve"> та/або </w:t>
            </w:r>
            <w:r>
              <w:rPr>
                <w:b/>
                <w:i/>
                <w:color w:val="000000"/>
              </w:rPr>
              <w:t>печатку органу</w:t>
            </w:r>
            <w:r>
              <w:rPr>
                <w:i/>
                <w:color w:val="000000"/>
              </w:rPr>
              <w:t>, яким видано документ.</w:t>
            </w:r>
          </w:p>
          <w:p w14:paraId="5788AE8B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Дата</w:t>
            </w:r>
            <w:r>
              <w:rPr>
                <w:color w:val="000000"/>
              </w:rPr>
              <w:t xml:space="preserve"> документа повинна бути </w:t>
            </w:r>
            <w:r>
              <w:rPr>
                <w:b/>
                <w:color w:val="000000"/>
              </w:rPr>
              <w:t>не раніше</w:t>
            </w:r>
            <w:r>
              <w:rPr>
                <w:color w:val="000000"/>
              </w:rPr>
              <w:t xml:space="preserve"> дати оприлюдненого в електронній системі закупівель </w:t>
            </w:r>
            <w:r>
              <w:rPr>
                <w:b/>
                <w:color w:val="000000"/>
              </w:rPr>
              <w:t>оголошення</w:t>
            </w:r>
            <w:r>
              <w:rPr>
                <w:color w:val="000000"/>
              </w:rPr>
              <w:t xml:space="preserve"> про проведення даної закупівлі.</w:t>
            </w:r>
          </w:p>
        </w:tc>
      </w:tr>
      <w:tr w:rsidR="008056C6" w14:paraId="06FE754F" w14:textId="77777777">
        <w:trPr>
          <w:trHeight w:val="20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814CF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95" w:firstLine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4476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Довідку довільної форми</w:t>
            </w:r>
            <w:r>
              <w:rPr>
                <w:color w:val="000000"/>
              </w:rPr>
              <w:t xml:space="preserve">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6C160E9F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або</w:t>
            </w:r>
          </w:p>
          <w:p w14:paraId="253BECF7" w14:textId="77777777" w:rsidR="008056C6" w:rsidRDefault="00A9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AE7064D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bookmarkStart w:id="1" w:name="_206ipza" w:colFirst="0" w:colLast="0"/>
      <w:bookmarkEnd w:id="1"/>
    </w:p>
    <w:p w14:paraId="3BE9B76D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>
        <w:rPr>
          <w:i/>
          <w:color w:val="000000"/>
        </w:rPr>
        <w:t>пунктом 47</w:t>
      </w:r>
      <w:r>
        <w:rPr>
          <w:color w:val="000000"/>
        </w:rPr>
        <w:t xml:space="preserve"> </w:t>
      </w:r>
      <w:r>
        <w:rPr>
          <w:i/>
          <w:color w:val="000000"/>
        </w:rPr>
        <w:t>Особливостей</w:t>
      </w:r>
      <w:r>
        <w:rPr>
          <w:color w:val="000000"/>
        </w:rPr>
        <w:t xml:space="preserve"> подається по кожному з учасників, які входять у склад об’єднання окремо.</w:t>
      </w:r>
    </w:p>
    <w:p w14:paraId="102EA964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14:paraId="69251E2B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50034457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14:paraId="2861ACF3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документа.</w:t>
      </w:r>
    </w:p>
    <w:p w14:paraId="4634BCF8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color w:val="333333"/>
        </w:rPr>
      </w:pPr>
      <w:r>
        <w:rPr>
          <w:color w:val="333333"/>
        </w:rPr>
        <w:t>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закупівлю.</w:t>
      </w:r>
    </w:p>
    <w:p w14:paraId="70425600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EA2B05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Учасник процедури закупівлі нерезидент має право надавати аналогічні відомості (документи), що складаються в державі де він офіційно зареєстрований з наданням сканованого листа з поясненнями та посиланнями на законодавство цієї країни.</w:t>
      </w:r>
    </w:p>
    <w:p w14:paraId="218143BF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10C38F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right="22"/>
        <w:jc w:val="both"/>
        <w:rPr>
          <w:color w:val="000000"/>
        </w:rPr>
      </w:pPr>
      <w:r>
        <w:rPr>
          <w:b/>
          <w:i/>
          <w:color w:val="000000"/>
        </w:rPr>
        <w:t>Примітки:</w:t>
      </w:r>
    </w:p>
    <w:p w14:paraId="592B4899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right="22"/>
        <w:jc w:val="both"/>
        <w:rPr>
          <w:color w:val="000000"/>
        </w:rPr>
      </w:pPr>
      <w:r>
        <w:rPr>
          <w:b/>
          <w:i/>
          <w:color w:val="000000"/>
        </w:rPr>
        <w:t>а) вся інформація та документи, повинні бути засвідчені відповідно до вимог цієї тендерної документації;</w:t>
      </w:r>
    </w:p>
    <w:p w14:paraId="6C8CF4F7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</w:rPr>
        <w:t>б)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пропозиції,  про що такий Учасник повинен зазначити у довідці, з посиланням на норми відповідних законодавчих актів України.</w:t>
      </w:r>
    </w:p>
    <w:p w14:paraId="769E8A55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14:paraId="3B2DE095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Документи відповідно Додатку 6</w:t>
      </w:r>
      <w:r>
        <w:rPr>
          <w:color w:val="000000"/>
          <w:highlight w:val="white"/>
        </w:rPr>
        <w:t xml:space="preserve"> завантажені учасником до електронної системи закупівель після закінчення строку їх подання, не розглядаються, вважаються замовником такими, що не надані. Кінцевий строк завантаження учасником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до електронної системи закупівель </w:t>
      </w:r>
      <w:r>
        <w:rPr>
          <w:b/>
          <w:color w:val="000000"/>
        </w:rPr>
        <w:t xml:space="preserve">документів відповідно Додатку 6 є четвертий день </w:t>
      </w:r>
      <w:r>
        <w:rPr>
          <w:b/>
          <w:color w:val="000000"/>
          <w:highlight w:val="white"/>
        </w:rPr>
        <w:t xml:space="preserve">з дати оприлюднення на веб-порталі Уповноваженого органу повідомлення про намір укласти договір. </w:t>
      </w:r>
    </w:p>
    <w:p w14:paraId="6A0D77C9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B95B0C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У разі неналежного оформлення або ненадання одного або декількох документів, які не відповідають вимогам встановленим в Додатку 6 тендерної документації, Замовник розцінює це як відмову від укладання договору про закупівлю.</w:t>
      </w:r>
    </w:p>
    <w:p w14:paraId="5EE6ACF4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86056D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 w:firstLine="568"/>
        <w:jc w:val="both"/>
        <w:rPr>
          <w:color w:val="000000"/>
        </w:rPr>
      </w:pPr>
      <w:r>
        <w:rPr>
          <w:b/>
          <w:color w:val="000000"/>
        </w:rPr>
        <w:t>Примітки:</w:t>
      </w:r>
    </w:p>
    <w:p w14:paraId="7A8AF8F1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Замовник не вимагає документального підтвердження інформації про відповідність підставам, встановленим</w:t>
      </w:r>
    </w:p>
    <w:p w14:paraId="407D274B" w14:textId="77777777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highlight w:val="white"/>
        </w:rPr>
        <w:t>статтею 17 цього Закону, у разі якщо така інформація є публічною, що оприлюднена у формі відкритих даних згідно із </w:t>
      </w:r>
      <w:hyperlink r:id="rId9">
        <w:r>
          <w:rPr>
            <w:color w:val="000000"/>
            <w:highlight w:val="white"/>
            <w:u w:val="single"/>
          </w:rPr>
          <w:t>Законом України</w:t>
        </w:r>
      </w:hyperlink>
      <w:r>
        <w:rPr>
          <w:color w:val="000000"/>
          <w:highlight w:val="white"/>
        </w:rPr>
        <w:t> "Про доступ до публічної інформації", та/або міститься у відкритих єдиних державних реєстрах, доступ до яких є вільним.</w:t>
      </w:r>
    </w:p>
    <w:p w14:paraId="1C5937E6" w14:textId="77777777" w:rsidR="008056C6" w:rsidRDefault="008056C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</w:rPr>
      </w:pPr>
    </w:p>
    <w:p w14:paraId="24B56D05" w14:textId="56293283" w:rsidR="008056C6" w:rsidRDefault="00A95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Згідно ст. 255 Цивільного кодексу України якщо строк встановлено для вчинення дії, вона може бути вчинена до закінчення останнього дня строку. У разі, якщо ця дія має бути вчинена в установі, то строк спливає тоді, коли у цій установі за встановленими правилами припиняються відповідні операції.</w:t>
      </w:r>
    </w:p>
    <w:sectPr w:rsidR="008056C6" w:rsidSect="007E283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746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AE16" w14:textId="77777777" w:rsidR="00F57CEA" w:rsidRDefault="00F57CEA">
      <w:r>
        <w:separator/>
      </w:r>
    </w:p>
  </w:endnote>
  <w:endnote w:type="continuationSeparator" w:id="0">
    <w:p w14:paraId="1F062576" w14:textId="77777777" w:rsidR="00F57CEA" w:rsidRDefault="00F5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9E69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10AC118" w14:textId="77777777" w:rsidR="00A95AE7" w:rsidRDefault="00A95AE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5F2C" w14:textId="77777777" w:rsidR="00A95AE7" w:rsidRDefault="00A95AE7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CF4F" w14:textId="77777777" w:rsidR="00F57CEA" w:rsidRDefault="00F57CEA">
      <w:r>
        <w:separator/>
      </w:r>
    </w:p>
  </w:footnote>
  <w:footnote w:type="continuationSeparator" w:id="0">
    <w:p w14:paraId="6F9F7B59" w14:textId="77777777" w:rsidR="00F57CEA" w:rsidRDefault="00F5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68EC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3152" w14:textId="77777777" w:rsidR="00A95AE7" w:rsidRDefault="00A95A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57"/>
    <w:multiLevelType w:val="multilevel"/>
    <w:tmpl w:val="EED4EB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03773F"/>
    <w:multiLevelType w:val="multilevel"/>
    <w:tmpl w:val="1072521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7F7BB1"/>
    <w:multiLevelType w:val="multilevel"/>
    <w:tmpl w:val="2CA0576A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133C266C"/>
    <w:multiLevelType w:val="multilevel"/>
    <w:tmpl w:val="4E20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14747E"/>
    <w:multiLevelType w:val="multilevel"/>
    <w:tmpl w:val="BFFE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95F7ECF"/>
    <w:multiLevelType w:val="multilevel"/>
    <w:tmpl w:val="502CFCE6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73" w:hanging="479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74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08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77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1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80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13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2" w:hanging="1800"/>
      </w:pPr>
      <w:rPr>
        <w:vertAlign w:val="baseline"/>
      </w:rPr>
    </w:lvl>
  </w:abstractNum>
  <w:abstractNum w:abstractNumId="6" w15:restartNumberingAfterBreak="0">
    <w:nsid w:val="1A7E08E0"/>
    <w:multiLevelType w:val="multilevel"/>
    <w:tmpl w:val="4C3065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DBD6128"/>
    <w:multiLevelType w:val="multilevel"/>
    <w:tmpl w:val="FEBAAB6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EBB057E"/>
    <w:multiLevelType w:val="multilevel"/>
    <w:tmpl w:val="BCD4B11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3FC7EDD"/>
    <w:multiLevelType w:val="multilevel"/>
    <w:tmpl w:val="786A1AF8"/>
    <w:lvl w:ilvl="0">
      <w:start w:val="8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2FD2805"/>
    <w:multiLevelType w:val="multilevel"/>
    <w:tmpl w:val="F70C35A6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199" w:hanging="108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108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11" w15:restartNumberingAfterBreak="0">
    <w:nsid w:val="4F64765F"/>
    <w:multiLevelType w:val="multilevel"/>
    <w:tmpl w:val="F90E2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540B651F"/>
    <w:multiLevelType w:val="multilevel"/>
    <w:tmpl w:val="346A2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5880563"/>
    <w:multiLevelType w:val="multilevel"/>
    <w:tmpl w:val="89587756"/>
    <w:lvl w:ilvl="0">
      <w:start w:val="3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7AA60F7"/>
    <w:multiLevelType w:val="multilevel"/>
    <w:tmpl w:val="47AAA2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7550F9"/>
    <w:multiLevelType w:val="multilevel"/>
    <w:tmpl w:val="5268C5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6" w15:restartNumberingAfterBreak="0">
    <w:nsid w:val="758420F3"/>
    <w:multiLevelType w:val="multilevel"/>
    <w:tmpl w:val="8474DF6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DD6318"/>
    <w:multiLevelType w:val="multilevel"/>
    <w:tmpl w:val="D500D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C6"/>
    <w:rsid w:val="00004B79"/>
    <w:rsid w:val="0003529B"/>
    <w:rsid w:val="00122748"/>
    <w:rsid w:val="00124B08"/>
    <w:rsid w:val="0013582D"/>
    <w:rsid w:val="00306CB1"/>
    <w:rsid w:val="00397E46"/>
    <w:rsid w:val="003A3A00"/>
    <w:rsid w:val="0046409C"/>
    <w:rsid w:val="004B40E2"/>
    <w:rsid w:val="004D6088"/>
    <w:rsid w:val="00581744"/>
    <w:rsid w:val="005C2578"/>
    <w:rsid w:val="00613845"/>
    <w:rsid w:val="006B1CCA"/>
    <w:rsid w:val="0072412C"/>
    <w:rsid w:val="007638C7"/>
    <w:rsid w:val="00767C2F"/>
    <w:rsid w:val="00772888"/>
    <w:rsid w:val="0077573E"/>
    <w:rsid w:val="007E2833"/>
    <w:rsid w:val="00802F9B"/>
    <w:rsid w:val="008056C6"/>
    <w:rsid w:val="00891254"/>
    <w:rsid w:val="008F6293"/>
    <w:rsid w:val="009743D8"/>
    <w:rsid w:val="009F5C56"/>
    <w:rsid w:val="00A8643D"/>
    <w:rsid w:val="00A95AE7"/>
    <w:rsid w:val="00AF58C1"/>
    <w:rsid w:val="00B07DF6"/>
    <w:rsid w:val="00BA090C"/>
    <w:rsid w:val="00BD5693"/>
    <w:rsid w:val="00CE3E37"/>
    <w:rsid w:val="00D4691D"/>
    <w:rsid w:val="00D95BB4"/>
    <w:rsid w:val="00F57CEA"/>
    <w:rsid w:val="00F971BF"/>
    <w:rsid w:val="00FA6DB3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525"/>
  <w15:docId w15:val="{0812D79C-6511-4E9D-8685-991888A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2F9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annotation text"/>
    <w:basedOn w:val="a"/>
    <w:link w:val="aff"/>
    <w:uiPriority w:val="99"/>
    <w:semiHidden/>
    <w:unhideWhenUsed/>
  </w:style>
  <w:style w:type="character" w:customStyle="1" w:styleId="aff">
    <w:name w:val="Текст примітки Знак"/>
    <w:basedOn w:val="a0"/>
    <w:link w:val="afe"/>
    <w:uiPriority w:val="99"/>
    <w:semiHidden/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Balloon Text"/>
    <w:basedOn w:val="a"/>
    <w:link w:val="aff2"/>
    <w:uiPriority w:val="99"/>
    <w:semiHidden/>
    <w:unhideWhenUsed/>
    <w:rsid w:val="00772888"/>
    <w:rPr>
      <w:rFonts w:ascii="Segoe UI" w:hAnsi="Segoe UI" w:cs="Segoe UI"/>
      <w:sz w:val="18"/>
      <w:szCs w:val="18"/>
    </w:rPr>
  </w:style>
  <w:style w:type="character" w:customStyle="1" w:styleId="aff2">
    <w:name w:val="Текст у виносці Знак"/>
    <w:basedOn w:val="a0"/>
    <w:link w:val="aff1"/>
    <w:uiPriority w:val="99"/>
    <w:semiHidden/>
    <w:rsid w:val="0077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25</cp:revision>
  <dcterms:created xsi:type="dcterms:W3CDTF">2023-10-09T11:12:00Z</dcterms:created>
  <dcterms:modified xsi:type="dcterms:W3CDTF">2023-10-17T08:19:00Z</dcterms:modified>
</cp:coreProperties>
</file>