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9"/>
        <w:ind w:left="877" w:right="631"/>
        <w:jc w:val="center"/>
        <w:rPr>
          <w:b/>
          <w:sz w:val="28"/>
          <w:szCs w:val="28"/>
        </w:rPr>
      </w:pPr>
      <w:r>
        <w:rPr>
          <w:b/>
          <w:sz w:val="28"/>
          <w:szCs w:val="28"/>
        </w:rPr>
        <w:t>Спеціалізоване</w:t>
      </w:r>
      <w:r>
        <w:rPr>
          <w:b/>
          <w:spacing w:val="-10"/>
          <w:sz w:val="28"/>
          <w:szCs w:val="28"/>
        </w:rPr>
        <w:t xml:space="preserve"> </w:t>
      </w:r>
      <w:r>
        <w:rPr>
          <w:b/>
          <w:sz w:val="28"/>
          <w:szCs w:val="28"/>
        </w:rPr>
        <w:t>водогосподарське</w:t>
      </w:r>
      <w:r>
        <w:rPr>
          <w:b/>
          <w:spacing w:val="-9"/>
          <w:sz w:val="28"/>
          <w:szCs w:val="28"/>
        </w:rPr>
        <w:t xml:space="preserve"> </w:t>
      </w:r>
      <w:r>
        <w:rPr>
          <w:b/>
          <w:sz w:val="28"/>
          <w:szCs w:val="28"/>
        </w:rPr>
        <w:t>комунальне</w:t>
      </w:r>
      <w:r>
        <w:rPr>
          <w:b/>
          <w:spacing w:val="-9"/>
          <w:sz w:val="28"/>
          <w:szCs w:val="28"/>
        </w:rPr>
        <w:t xml:space="preserve"> </w:t>
      </w:r>
      <w:r>
        <w:rPr>
          <w:b/>
          <w:sz w:val="28"/>
          <w:szCs w:val="28"/>
        </w:rPr>
        <w:t>підприємство</w:t>
      </w:r>
      <w:r>
        <w:rPr>
          <w:b/>
          <w:spacing w:val="-67"/>
          <w:sz w:val="28"/>
          <w:szCs w:val="28"/>
        </w:rPr>
        <w:t xml:space="preserve"> </w:t>
      </w:r>
      <w:r>
        <w:rPr>
          <w:b/>
          <w:sz w:val="28"/>
          <w:szCs w:val="28"/>
        </w:rPr>
        <w:t>виконавчого органу Київської міської</w:t>
      </w:r>
      <w:r>
        <w:rPr>
          <w:b/>
          <w:spacing w:val="4"/>
          <w:sz w:val="28"/>
          <w:szCs w:val="28"/>
        </w:rPr>
        <w:t xml:space="preserve"> </w:t>
      </w:r>
      <w:r>
        <w:rPr>
          <w:b/>
          <w:sz w:val="28"/>
          <w:szCs w:val="28"/>
        </w:rPr>
        <w:t>ради</w:t>
      </w:r>
    </w:p>
    <w:p>
      <w:pPr>
        <w:spacing w:line="321" w:lineRule="exact"/>
        <w:ind w:left="880" w:right="631"/>
        <w:jc w:val="center"/>
        <w:rPr>
          <w:b/>
          <w:sz w:val="28"/>
          <w:szCs w:val="28"/>
        </w:rPr>
      </w:pPr>
      <w:r>
        <w:rPr>
          <w:b/>
          <w:sz w:val="28"/>
          <w:szCs w:val="28"/>
        </w:rPr>
        <w:t>(Київської</w:t>
      </w:r>
      <w:r>
        <w:rPr>
          <w:b/>
          <w:spacing w:val="-8"/>
          <w:sz w:val="28"/>
          <w:szCs w:val="28"/>
        </w:rPr>
        <w:t xml:space="preserve"> </w:t>
      </w:r>
      <w:r>
        <w:rPr>
          <w:b/>
          <w:sz w:val="28"/>
          <w:szCs w:val="28"/>
        </w:rPr>
        <w:t>міської</w:t>
      </w:r>
      <w:r>
        <w:rPr>
          <w:b/>
          <w:spacing w:val="-7"/>
          <w:sz w:val="28"/>
          <w:szCs w:val="28"/>
        </w:rPr>
        <w:t xml:space="preserve"> </w:t>
      </w:r>
      <w:r>
        <w:rPr>
          <w:b/>
          <w:sz w:val="28"/>
          <w:szCs w:val="28"/>
        </w:rPr>
        <w:t>державної</w:t>
      </w:r>
      <w:r>
        <w:rPr>
          <w:b/>
          <w:spacing w:val="-8"/>
          <w:sz w:val="28"/>
          <w:szCs w:val="28"/>
        </w:rPr>
        <w:t xml:space="preserve"> </w:t>
      </w:r>
      <w:r>
        <w:rPr>
          <w:b/>
          <w:sz w:val="28"/>
          <w:szCs w:val="28"/>
        </w:rPr>
        <w:t>адміністрації)</w:t>
      </w:r>
    </w:p>
    <w:p>
      <w:pPr>
        <w:spacing w:before="5"/>
        <w:ind w:left="878" w:right="631"/>
        <w:jc w:val="center"/>
        <w:rPr>
          <w:b/>
          <w:sz w:val="28"/>
          <w:szCs w:val="28"/>
        </w:rPr>
      </w:pPr>
      <w:r>
        <w:rPr>
          <w:b/>
          <w:sz w:val="28"/>
          <w:szCs w:val="28"/>
        </w:rPr>
        <w:t>«Київводфонд»</w:t>
      </w:r>
    </w:p>
    <w:p>
      <w:pPr>
        <w:pStyle w:val="11"/>
        <w:ind w:left="0"/>
        <w:rPr>
          <w:b/>
          <w:sz w:val="28"/>
          <w:szCs w:val="28"/>
        </w:rPr>
      </w:pPr>
    </w:p>
    <w:p>
      <w:pPr>
        <w:pStyle w:val="11"/>
        <w:ind w:left="0"/>
        <w:rPr>
          <w:b/>
          <w:sz w:val="28"/>
          <w:szCs w:val="28"/>
        </w:rPr>
      </w:pPr>
    </w:p>
    <w:p>
      <w:pPr>
        <w:pStyle w:val="11"/>
        <w:ind w:left="0"/>
        <w:rPr>
          <w:b/>
          <w:sz w:val="28"/>
          <w:szCs w:val="28"/>
        </w:rPr>
      </w:pPr>
    </w:p>
    <w:p>
      <w:pPr>
        <w:pStyle w:val="11"/>
        <w:spacing w:before="3"/>
        <w:ind w:left="0"/>
        <w:rPr>
          <w:b/>
          <w:sz w:val="28"/>
          <w:szCs w:val="28"/>
        </w:rPr>
      </w:pPr>
    </w:p>
    <w:p>
      <w:pPr>
        <w:pStyle w:val="11"/>
        <w:ind w:left="4536"/>
        <w:rPr>
          <w:sz w:val="28"/>
          <w:szCs w:val="28"/>
        </w:rPr>
      </w:pPr>
      <w:r>
        <w:rPr>
          <w:sz w:val="28"/>
          <w:szCs w:val="28"/>
        </w:rPr>
        <w:t>ЗАТВЕРДЖЕНО</w:t>
      </w:r>
    </w:p>
    <w:p>
      <w:pPr>
        <w:pStyle w:val="11"/>
        <w:spacing w:before="3"/>
        <w:ind w:left="4536" w:right="712"/>
        <w:rPr>
          <w:sz w:val="28"/>
          <w:szCs w:val="28"/>
        </w:rPr>
      </w:pPr>
      <w:r>
        <w:rPr>
          <w:sz w:val="28"/>
          <w:szCs w:val="28"/>
        </w:rPr>
        <w:t xml:space="preserve">протоколом уповноваженої особи </w:t>
      </w:r>
      <w:r>
        <w:rPr>
          <w:spacing w:val="-57"/>
          <w:sz w:val="28"/>
          <w:szCs w:val="28"/>
        </w:rPr>
        <w:t xml:space="preserve"> </w:t>
      </w:r>
      <w:r>
        <w:rPr>
          <w:sz w:val="28"/>
          <w:szCs w:val="28"/>
        </w:rPr>
        <w:t>СВКП</w:t>
      </w:r>
      <w:r>
        <w:rPr>
          <w:spacing w:val="5"/>
          <w:sz w:val="28"/>
          <w:szCs w:val="28"/>
        </w:rPr>
        <w:t xml:space="preserve"> </w:t>
      </w:r>
      <w:r>
        <w:rPr>
          <w:sz w:val="28"/>
          <w:szCs w:val="28"/>
        </w:rPr>
        <w:t>«Київводфонд»</w:t>
      </w:r>
    </w:p>
    <w:p>
      <w:pPr>
        <w:pStyle w:val="11"/>
        <w:ind w:left="4536"/>
        <w:rPr>
          <w:rFonts w:hint="default"/>
          <w:sz w:val="28"/>
          <w:szCs w:val="28"/>
          <w:lang w:val="uk-UA"/>
        </w:rPr>
      </w:pPr>
      <w:r>
        <w:rPr>
          <w:sz w:val="28"/>
          <w:szCs w:val="28"/>
        </w:rPr>
        <w:t>від «</w:t>
      </w:r>
      <w:r>
        <w:rPr>
          <w:rFonts w:hint="default"/>
          <w:sz w:val="28"/>
          <w:szCs w:val="28"/>
          <w:lang w:val="uk-UA"/>
        </w:rPr>
        <w:t>21</w:t>
      </w:r>
      <w:r>
        <w:rPr>
          <w:sz w:val="28"/>
          <w:szCs w:val="28"/>
        </w:rPr>
        <w:t>»</w:t>
      </w:r>
      <w:r>
        <w:rPr>
          <w:spacing w:val="-3"/>
          <w:sz w:val="28"/>
          <w:szCs w:val="28"/>
        </w:rPr>
        <w:t xml:space="preserve"> </w:t>
      </w:r>
      <w:r>
        <w:rPr>
          <w:sz w:val="28"/>
          <w:szCs w:val="28"/>
        </w:rPr>
        <w:t>листопада</w:t>
      </w:r>
      <w:r>
        <w:rPr>
          <w:spacing w:val="-1"/>
          <w:sz w:val="28"/>
          <w:szCs w:val="28"/>
        </w:rPr>
        <w:t xml:space="preserve"> </w:t>
      </w:r>
      <w:r>
        <w:rPr>
          <w:sz w:val="28"/>
          <w:szCs w:val="28"/>
        </w:rPr>
        <w:t>2023</w:t>
      </w:r>
      <w:r>
        <w:rPr>
          <w:spacing w:val="2"/>
          <w:sz w:val="28"/>
          <w:szCs w:val="28"/>
        </w:rPr>
        <w:t xml:space="preserve"> </w:t>
      </w:r>
      <w:r>
        <w:rPr>
          <w:sz w:val="28"/>
          <w:szCs w:val="28"/>
        </w:rPr>
        <w:t>року</w:t>
      </w:r>
      <w:r>
        <w:rPr>
          <w:spacing w:val="-8"/>
          <w:sz w:val="28"/>
          <w:szCs w:val="28"/>
        </w:rPr>
        <w:t xml:space="preserve"> </w:t>
      </w:r>
      <w:r>
        <w:rPr>
          <w:sz w:val="28"/>
          <w:szCs w:val="28"/>
        </w:rPr>
        <w:t>№</w:t>
      </w:r>
      <w:r>
        <w:rPr>
          <w:spacing w:val="4"/>
          <w:sz w:val="28"/>
          <w:szCs w:val="28"/>
        </w:rPr>
        <w:t xml:space="preserve"> </w:t>
      </w:r>
      <w:r>
        <w:rPr>
          <w:rFonts w:hint="default"/>
          <w:sz w:val="28"/>
          <w:szCs w:val="28"/>
          <w:lang w:val="uk-UA"/>
        </w:rPr>
        <w:t>2111/3</w:t>
      </w:r>
    </w:p>
    <w:p>
      <w:pPr>
        <w:pStyle w:val="11"/>
        <w:spacing w:before="2"/>
        <w:ind w:left="4536"/>
        <w:rPr>
          <w:sz w:val="28"/>
          <w:szCs w:val="28"/>
        </w:rPr>
      </w:pPr>
    </w:p>
    <w:p>
      <w:pPr>
        <w:pStyle w:val="11"/>
        <w:tabs>
          <w:tab w:val="left" w:pos="8098"/>
        </w:tabs>
        <w:spacing w:before="90"/>
        <w:ind w:left="4536"/>
        <w:rPr>
          <w:sz w:val="28"/>
          <w:szCs w:val="28"/>
        </w:rPr>
      </w:pPr>
      <w:r>
        <w:rPr>
          <w:sz w:val="28"/>
          <w:szCs w:val="28"/>
        </w:rPr>
        <w:t>В.В. Ковалько</w:t>
      </w:r>
    </w:p>
    <w:p>
      <w:pPr>
        <w:pStyle w:val="11"/>
        <w:ind w:left="0"/>
        <w:rPr>
          <w:sz w:val="28"/>
          <w:szCs w:val="28"/>
        </w:rPr>
      </w:pPr>
    </w:p>
    <w:p>
      <w:pPr>
        <w:pStyle w:val="11"/>
        <w:ind w:left="0"/>
        <w:rPr>
          <w:sz w:val="28"/>
          <w:szCs w:val="28"/>
        </w:rPr>
      </w:pPr>
    </w:p>
    <w:p>
      <w:pPr>
        <w:pStyle w:val="11"/>
        <w:ind w:left="0"/>
        <w:rPr>
          <w:sz w:val="28"/>
          <w:szCs w:val="28"/>
        </w:rPr>
      </w:pPr>
    </w:p>
    <w:p>
      <w:pPr>
        <w:pStyle w:val="11"/>
        <w:ind w:left="0"/>
        <w:rPr>
          <w:sz w:val="28"/>
          <w:szCs w:val="28"/>
        </w:rPr>
      </w:pPr>
    </w:p>
    <w:p>
      <w:pPr>
        <w:pStyle w:val="11"/>
        <w:ind w:left="0"/>
        <w:rPr>
          <w:sz w:val="28"/>
          <w:szCs w:val="28"/>
        </w:rPr>
      </w:pPr>
    </w:p>
    <w:p>
      <w:pPr>
        <w:pStyle w:val="11"/>
        <w:ind w:left="0"/>
        <w:rPr>
          <w:sz w:val="28"/>
          <w:szCs w:val="28"/>
        </w:rPr>
      </w:pPr>
    </w:p>
    <w:p>
      <w:pPr>
        <w:pStyle w:val="11"/>
        <w:spacing w:before="4"/>
        <w:ind w:left="0"/>
        <w:rPr>
          <w:sz w:val="28"/>
          <w:szCs w:val="28"/>
        </w:rPr>
      </w:pPr>
    </w:p>
    <w:p>
      <w:pPr>
        <w:spacing w:before="1"/>
        <w:ind w:right="3"/>
        <w:jc w:val="center"/>
        <w:rPr>
          <w:b/>
          <w:sz w:val="28"/>
          <w:szCs w:val="28"/>
        </w:rPr>
      </w:pPr>
      <w:r>
        <w:rPr>
          <w:b/>
          <w:sz w:val="28"/>
          <w:szCs w:val="28"/>
        </w:rPr>
        <w:t xml:space="preserve">ТЕНДЕРНА ДОКУМЕНТАЦІЯ </w:t>
      </w:r>
      <w:r>
        <w:rPr>
          <w:b/>
          <w:spacing w:val="-67"/>
          <w:sz w:val="28"/>
          <w:szCs w:val="28"/>
        </w:rPr>
        <w:t xml:space="preserve"> </w:t>
      </w:r>
      <w:r>
        <w:rPr>
          <w:b/>
          <w:sz w:val="28"/>
          <w:szCs w:val="28"/>
        </w:rPr>
        <w:t>НА</w:t>
      </w:r>
      <w:r>
        <w:rPr>
          <w:b/>
          <w:spacing w:val="-1"/>
          <w:sz w:val="28"/>
          <w:szCs w:val="28"/>
        </w:rPr>
        <w:t xml:space="preserve"> </w:t>
      </w:r>
      <w:r>
        <w:rPr>
          <w:b/>
          <w:sz w:val="28"/>
          <w:szCs w:val="28"/>
        </w:rPr>
        <w:t>ЗАКУПІВЛЮ</w:t>
      </w:r>
      <w:r>
        <w:rPr>
          <w:b/>
          <w:spacing w:val="-2"/>
          <w:sz w:val="28"/>
          <w:szCs w:val="28"/>
        </w:rPr>
        <w:t xml:space="preserve"> </w:t>
      </w:r>
      <w:r>
        <w:rPr>
          <w:b/>
          <w:sz w:val="28"/>
          <w:szCs w:val="28"/>
        </w:rPr>
        <w:t>ПОСЛУГ</w:t>
      </w:r>
    </w:p>
    <w:p>
      <w:pPr>
        <w:pStyle w:val="11"/>
        <w:spacing w:before="6"/>
        <w:ind w:left="0" w:right="3"/>
        <w:rPr>
          <w:b/>
          <w:sz w:val="28"/>
          <w:szCs w:val="28"/>
        </w:rPr>
      </w:pPr>
    </w:p>
    <w:p>
      <w:pPr>
        <w:pStyle w:val="12"/>
        <w:ind w:left="0" w:right="3"/>
        <w:rPr>
          <w:sz w:val="28"/>
          <w:szCs w:val="28"/>
        </w:rPr>
      </w:pPr>
      <w:r>
        <w:rPr>
          <w:sz w:val="28"/>
          <w:szCs w:val="28"/>
        </w:rPr>
        <w:t>Предмет</w:t>
      </w:r>
      <w:r>
        <w:rPr>
          <w:spacing w:val="-4"/>
          <w:sz w:val="28"/>
          <w:szCs w:val="28"/>
        </w:rPr>
        <w:t xml:space="preserve"> </w:t>
      </w:r>
      <w:r>
        <w:rPr>
          <w:sz w:val="28"/>
          <w:szCs w:val="28"/>
        </w:rPr>
        <w:t>закупівлі:</w:t>
      </w:r>
    </w:p>
    <w:p>
      <w:pPr>
        <w:spacing w:before="6"/>
        <w:ind w:right="3"/>
        <w:jc w:val="center"/>
        <w:rPr>
          <w:b/>
          <w:sz w:val="28"/>
          <w:szCs w:val="28"/>
        </w:rPr>
      </w:pPr>
      <w:r>
        <w:rPr>
          <w:b/>
          <w:sz w:val="28"/>
          <w:szCs w:val="28"/>
        </w:rPr>
        <w:t>код</w:t>
      </w:r>
      <w:r>
        <w:rPr>
          <w:b/>
          <w:spacing w:val="-5"/>
          <w:sz w:val="28"/>
          <w:szCs w:val="28"/>
        </w:rPr>
        <w:t xml:space="preserve"> </w:t>
      </w:r>
      <w:r>
        <w:rPr>
          <w:b/>
          <w:sz w:val="28"/>
          <w:szCs w:val="28"/>
        </w:rPr>
        <w:t>за національним</w:t>
      </w:r>
      <w:r>
        <w:rPr>
          <w:b/>
          <w:spacing w:val="-1"/>
          <w:sz w:val="28"/>
          <w:szCs w:val="28"/>
        </w:rPr>
        <w:t xml:space="preserve"> </w:t>
      </w:r>
      <w:r>
        <w:rPr>
          <w:b/>
          <w:sz w:val="28"/>
          <w:szCs w:val="28"/>
        </w:rPr>
        <w:t>класифікатором</w:t>
      </w:r>
      <w:r>
        <w:rPr>
          <w:b/>
          <w:spacing w:val="3"/>
          <w:sz w:val="28"/>
          <w:szCs w:val="28"/>
        </w:rPr>
        <w:t xml:space="preserve"> </w:t>
      </w:r>
      <w:r>
        <w:rPr>
          <w:b/>
          <w:sz w:val="28"/>
          <w:szCs w:val="28"/>
        </w:rPr>
        <w:t>України</w:t>
      </w:r>
      <w:r>
        <w:rPr>
          <w:b/>
          <w:spacing w:val="-6"/>
          <w:sz w:val="28"/>
          <w:szCs w:val="28"/>
        </w:rPr>
        <w:t xml:space="preserve"> </w:t>
      </w:r>
      <w:r>
        <w:rPr>
          <w:b/>
          <w:sz w:val="28"/>
          <w:szCs w:val="28"/>
        </w:rPr>
        <w:t>ДК</w:t>
      </w:r>
      <w:r>
        <w:rPr>
          <w:b/>
          <w:spacing w:val="-4"/>
          <w:sz w:val="28"/>
          <w:szCs w:val="28"/>
        </w:rPr>
        <w:t xml:space="preserve"> </w:t>
      </w:r>
      <w:r>
        <w:rPr>
          <w:b/>
          <w:sz w:val="28"/>
          <w:szCs w:val="28"/>
        </w:rPr>
        <w:t>021:2015:</w:t>
      </w:r>
      <w:r>
        <w:rPr>
          <w:b/>
          <w:spacing w:val="13"/>
          <w:sz w:val="28"/>
          <w:szCs w:val="28"/>
        </w:rPr>
        <w:t xml:space="preserve"> </w:t>
      </w:r>
      <w:bookmarkStart w:id="0" w:name="_Hlk147388567"/>
      <w:r>
        <w:rPr>
          <w:b/>
          <w:sz w:val="28"/>
          <w:szCs w:val="28"/>
        </w:rPr>
        <w:t>50310000-1 Технічне обслуговування і ремонт офісної техніки</w:t>
      </w:r>
      <w:r>
        <w:rPr>
          <w:b/>
          <w:spacing w:val="-7"/>
          <w:sz w:val="28"/>
          <w:szCs w:val="28"/>
        </w:rPr>
        <w:t xml:space="preserve"> </w:t>
      </w:r>
      <w:r>
        <w:rPr>
          <w:b/>
          <w:sz w:val="28"/>
          <w:szCs w:val="28"/>
        </w:rPr>
        <w:t>(Послуги з ремонту та технічного обслуговування реєстраторів розрахункових операцій)</w:t>
      </w:r>
      <w:bookmarkEnd w:id="0"/>
    </w:p>
    <w:p>
      <w:pPr>
        <w:pStyle w:val="11"/>
        <w:ind w:left="0" w:right="3"/>
        <w:rPr>
          <w:b/>
          <w:sz w:val="28"/>
          <w:szCs w:val="28"/>
        </w:rPr>
      </w:pPr>
    </w:p>
    <w:p>
      <w:pPr>
        <w:pStyle w:val="11"/>
        <w:ind w:left="0" w:right="3"/>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11"/>
        <w:ind w:left="0"/>
        <w:rPr>
          <w:b/>
          <w:sz w:val="28"/>
          <w:szCs w:val="28"/>
        </w:rPr>
      </w:pPr>
    </w:p>
    <w:p>
      <w:pPr>
        <w:pStyle w:val="2"/>
        <w:spacing w:before="206"/>
        <w:ind w:left="883" w:right="562"/>
        <w:jc w:val="center"/>
        <w:rPr>
          <w:sz w:val="28"/>
          <w:szCs w:val="28"/>
          <w:lang w:val="ru-RU"/>
        </w:rPr>
      </w:pPr>
      <w:r>
        <w:rPr>
          <w:sz w:val="28"/>
          <w:szCs w:val="28"/>
        </w:rPr>
        <w:t>Київ</w:t>
      </w:r>
      <w:r>
        <w:rPr>
          <w:spacing w:val="1"/>
          <w:sz w:val="28"/>
          <w:szCs w:val="28"/>
        </w:rPr>
        <w:t xml:space="preserve"> </w:t>
      </w:r>
      <w:r>
        <w:rPr>
          <w:sz w:val="28"/>
          <w:szCs w:val="28"/>
        </w:rPr>
        <w:t>202</w:t>
      </w:r>
      <w:r>
        <w:rPr>
          <w:sz w:val="28"/>
          <w:szCs w:val="28"/>
          <w:lang w:val="ru-RU"/>
        </w:rPr>
        <w:t>3</w:t>
      </w:r>
    </w:p>
    <w:p>
      <w:pPr>
        <w:jc w:val="center"/>
        <w:rPr>
          <w:sz w:val="24"/>
          <w:szCs w:val="24"/>
        </w:rPr>
        <w:sectPr>
          <w:pgSz w:w="11910" w:h="16840"/>
          <w:pgMar w:top="1134" w:right="850" w:bottom="1134" w:left="1701" w:header="708" w:footer="708" w:gutter="0"/>
          <w:cols w:space="720" w:num="1"/>
          <w:docGrid w:linePitch="299" w:charSpace="0"/>
        </w:sectPr>
      </w:pPr>
    </w:p>
    <w:p>
      <w:pPr>
        <w:spacing w:before="68"/>
        <w:ind w:left="882" w:right="631"/>
        <w:jc w:val="center"/>
        <w:rPr>
          <w:b/>
          <w:sz w:val="24"/>
          <w:szCs w:val="24"/>
        </w:rPr>
      </w:pPr>
      <w:r>
        <w:rPr>
          <w:b/>
          <w:sz w:val="24"/>
          <w:szCs w:val="24"/>
        </w:rPr>
        <w:t>ЗМІСТ</w:t>
      </w:r>
    </w:p>
    <w:p>
      <w:pPr>
        <w:pStyle w:val="11"/>
        <w:spacing w:before="1"/>
        <w:ind w:left="0"/>
        <w:rPr>
          <w:b/>
        </w:rPr>
      </w:pPr>
    </w:p>
    <w:p>
      <w:pPr>
        <w:tabs>
          <w:tab w:val="left" w:pos="284"/>
        </w:tabs>
        <w:ind w:left="284" w:right="142"/>
        <w:jc w:val="both"/>
        <w:rPr>
          <w:b/>
          <w:sz w:val="24"/>
          <w:szCs w:val="24"/>
        </w:rPr>
      </w:pPr>
      <w:r>
        <w:rPr>
          <w:b/>
          <w:sz w:val="24"/>
          <w:szCs w:val="24"/>
        </w:rPr>
        <w:t>Розділ 1. Загальні положення.</w:t>
      </w:r>
    </w:p>
    <w:p>
      <w:pPr>
        <w:tabs>
          <w:tab w:val="left" w:pos="284"/>
        </w:tabs>
        <w:ind w:left="284" w:right="142"/>
        <w:jc w:val="both"/>
        <w:rPr>
          <w:sz w:val="24"/>
          <w:szCs w:val="24"/>
        </w:rPr>
      </w:pPr>
      <w:r>
        <w:rPr>
          <w:sz w:val="24"/>
          <w:szCs w:val="24"/>
        </w:rPr>
        <w:t>1. Терміни, які вживаються в тендерній документації.</w:t>
      </w:r>
    </w:p>
    <w:p>
      <w:pPr>
        <w:tabs>
          <w:tab w:val="left" w:pos="284"/>
        </w:tabs>
        <w:ind w:left="284" w:right="142"/>
        <w:jc w:val="both"/>
        <w:rPr>
          <w:sz w:val="24"/>
          <w:szCs w:val="24"/>
        </w:rPr>
      </w:pPr>
      <w:r>
        <w:rPr>
          <w:sz w:val="24"/>
          <w:szCs w:val="24"/>
        </w:rPr>
        <w:t>2. Інформація про Замовника торгів.</w:t>
      </w:r>
    </w:p>
    <w:p>
      <w:pPr>
        <w:tabs>
          <w:tab w:val="left" w:pos="284"/>
        </w:tabs>
        <w:ind w:left="284" w:right="142"/>
        <w:jc w:val="both"/>
        <w:rPr>
          <w:sz w:val="24"/>
          <w:szCs w:val="24"/>
        </w:rPr>
      </w:pPr>
      <w:r>
        <w:rPr>
          <w:sz w:val="24"/>
          <w:szCs w:val="24"/>
        </w:rPr>
        <w:t>2.1.Повне найменування.</w:t>
      </w:r>
    </w:p>
    <w:p>
      <w:pPr>
        <w:tabs>
          <w:tab w:val="left" w:pos="284"/>
        </w:tabs>
        <w:ind w:left="284" w:right="142"/>
        <w:jc w:val="both"/>
        <w:rPr>
          <w:sz w:val="24"/>
          <w:szCs w:val="24"/>
        </w:rPr>
      </w:pPr>
      <w:r>
        <w:rPr>
          <w:sz w:val="24"/>
          <w:szCs w:val="24"/>
        </w:rPr>
        <w:t>2.2.Місцезнаходження.</w:t>
      </w:r>
    </w:p>
    <w:p>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pPr>
        <w:tabs>
          <w:tab w:val="left" w:pos="284"/>
        </w:tabs>
        <w:ind w:left="284" w:right="142"/>
        <w:jc w:val="both"/>
        <w:rPr>
          <w:sz w:val="24"/>
          <w:szCs w:val="24"/>
        </w:rPr>
      </w:pPr>
      <w:r>
        <w:rPr>
          <w:sz w:val="24"/>
          <w:szCs w:val="24"/>
        </w:rPr>
        <w:t>3. Процедура закупівлі.</w:t>
      </w:r>
    </w:p>
    <w:p>
      <w:pPr>
        <w:tabs>
          <w:tab w:val="left" w:pos="284"/>
        </w:tabs>
        <w:ind w:left="284" w:right="142"/>
        <w:jc w:val="both"/>
        <w:rPr>
          <w:sz w:val="24"/>
          <w:szCs w:val="24"/>
        </w:rPr>
      </w:pPr>
      <w:r>
        <w:rPr>
          <w:sz w:val="24"/>
          <w:szCs w:val="24"/>
        </w:rPr>
        <w:t>4. Інформація про предмет закупівлі.</w:t>
      </w:r>
    </w:p>
    <w:p>
      <w:pPr>
        <w:tabs>
          <w:tab w:val="left" w:pos="284"/>
        </w:tabs>
        <w:ind w:left="284" w:right="142"/>
        <w:jc w:val="both"/>
        <w:rPr>
          <w:sz w:val="24"/>
          <w:szCs w:val="24"/>
        </w:rPr>
      </w:pPr>
      <w:r>
        <w:rPr>
          <w:sz w:val="24"/>
          <w:szCs w:val="24"/>
        </w:rPr>
        <w:t>4.1.Назва предмета закупівлі.</w:t>
      </w:r>
    </w:p>
    <w:p>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pPr>
        <w:tabs>
          <w:tab w:val="left" w:pos="284"/>
        </w:tabs>
        <w:ind w:left="284" w:right="142"/>
        <w:jc w:val="both"/>
        <w:rPr>
          <w:sz w:val="24"/>
          <w:szCs w:val="24"/>
        </w:rPr>
      </w:pPr>
      <w:r>
        <w:rPr>
          <w:sz w:val="24"/>
          <w:szCs w:val="24"/>
        </w:rPr>
        <w:t>4.4. Строк поставки товарів (надання послуг, виконання робіт).</w:t>
      </w:r>
    </w:p>
    <w:p>
      <w:pPr>
        <w:tabs>
          <w:tab w:val="left" w:pos="284"/>
        </w:tabs>
        <w:ind w:left="284" w:right="142"/>
        <w:jc w:val="both"/>
        <w:rPr>
          <w:sz w:val="24"/>
          <w:szCs w:val="24"/>
        </w:rPr>
      </w:pPr>
      <w:r>
        <w:rPr>
          <w:sz w:val="24"/>
          <w:szCs w:val="24"/>
        </w:rPr>
        <w:t>5. Недискримінація учасників.</w:t>
      </w:r>
    </w:p>
    <w:p>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pPr>
        <w:tabs>
          <w:tab w:val="left" w:pos="284"/>
        </w:tabs>
        <w:ind w:left="284" w:right="142"/>
        <w:jc w:val="both"/>
        <w:rPr>
          <w:sz w:val="24"/>
          <w:szCs w:val="24"/>
        </w:rPr>
      </w:pPr>
      <w:r>
        <w:rPr>
          <w:sz w:val="24"/>
          <w:szCs w:val="24"/>
        </w:rPr>
        <w:t>1. Процедура надання роз’яснень щодо тендерної документації.</w:t>
      </w:r>
    </w:p>
    <w:p>
      <w:pPr>
        <w:tabs>
          <w:tab w:val="left" w:pos="284"/>
        </w:tabs>
        <w:ind w:left="284" w:right="142"/>
        <w:jc w:val="both"/>
        <w:rPr>
          <w:sz w:val="24"/>
          <w:szCs w:val="24"/>
        </w:rPr>
      </w:pPr>
      <w:r>
        <w:rPr>
          <w:sz w:val="24"/>
          <w:szCs w:val="24"/>
        </w:rPr>
        <w:t>2. Внесення змін до тендерної документації.</w:t>
      </w:r>
    </w:p>
    <w:p>
      <w:pPr>
        <w:tabs>
          <w:tab w:val="left" w:pos="284"/>
        </w:tabs>
        <w:ind w:left="284" w:right="142"/>
        <w:jc w:val="both"/>
        <w:rPr>
          <w:b/>
          <w:sz w:val="24"/>
          <w:szCs w:val="24"/>
        </w:rPr>
      </w:pPr>
      <w:r>
        <w:rPr>
          <w:b/>
          <w:sz w:val="24"/>
          <w:szCs w:val="24"/>
        </w:rPr>
        <w:t>Розділ 3. Інструкція з підготовки тендерної пропозиції.</w:t>
      </w:r>
    </w:p>
    <w:p>
      <w:pPr>
        <w:tabs>
          <w:tab w:val="left" w:pos="284"/>
        </w:tabs>
        <w:ind w:left="284" w:right="142"/>
        <w:jc w:val="both"/>
        <w:rPr>
          <w:sz w:val="24"/>
          <w:szCs w:val="24"/>
        </w:rPr>
      </w:pPr>
      <w:r>
        <w:rPr>
          <w:sz w:val="24"/>
          <w:szCs w:val="24"/>
        </w:rPr>
        <w:t>1. Зміст і спосіб подання тендерної пропозиції.</w:t>
      </w:r>
    </w:p>
    <w:p>
      <w:pPr>
        <w:tabs>
          <w:tab w:val="left" w:pos="284"/>
        </w:tabs>
        <w:ind w:left="284" w:right="142"/>
        <w:jc w:val="both"/>
        <w:rPr>
          <w:sz w:val="24"/>
          <w:szCs w:val="24"/>
        </w:rPr>
      </w:pPr>
      <w:r>
        <w:rPr>
          <w:sz w:val="24"/>
          <w:szCs w:val="24"/>
        </w:rPr>
        <w:t>2. Забезпечення тендерної пропозиції.</w:t>
      </w:r>
    </w:p>
    <w:p>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pPr>
        <w:tabs>
          <w:tab w:val="left" w:pos="284"/>
        </w:tabs>
        <w:ind w:left="284" w:right="142"/>
        <w:jc w:val="both"/>
        <w:rPr>
          <w:sz w:val="24"/>
          <w:szCs w:val="24"/>
        </w:rPr>
      </w:pPr>
      <w:r>
        <w:rPr>
          <w:sz w:val="24"/>
          <w:szCs w:val="24"/>
        </w:rPr>
        <w:t>4. Строк, протягом якого тендерні пропозиції є дійсними.</w:t>
      </w:r>
    </w:p>
    <w:p>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pPr>
        <w:tabs>
          <w:tab w:val="left" w:pos="284"/>
        </w:tabs>
        <w:ind w:left="284" w:right="142"/>
        <w:jc w:val="both"/>
        <w:rPr>
          <w:b/>
          <w:sz w:val="24"/>
          <w:szCs w:val="24"/>
        </w:rPr>
      </w:pPr>
      <w:r>
        <w:rPr>
          <w:b/>
          <w:sz w:val="24"/>
          <w:szCs w:val="24"/>
        </w:rPr>
        <w:t>Розділ 4. Подання та розкриття тендерної пропозиції.</w:t>
      </w:r>
    </w:p>
    <w:p>
      <w:pPr>
        <w:tabs>
          <w:tab w:val="left" w:pos="284"/>
        </w:tabs>
        <w:ind w:left="284" w:right="142"/>
        <w:jc w:val="both"/>
        <w:rPr>
          <w:sz w:val="24"/>
          <w:szCs w:val="24"/>
        </w:rPr>
      </w:pPr>
      <w:r>
        <w:rPr>
          <w:sz w:val="24"/>
          <w:szCs w:val="24"/>
        </w:rPr>
        <w:t>1. Кінцевий строк подання тендерної пропозиції.</w:t>
      </w:r>
    </w:p>
    <w:p>
      <w:pPr>
        <w:tabs>
          <w:tab w:val="left" w:pos="284"/>
        </w:tabs>
        <w:ind w:left="284" w:right="142"/>
        <w:jc w:val="both"/>
        <w:rPr>
          <w:b/>
          <w:sz w:val="24"/>
          <w:szCs w:val="24"/>
        </w:rPr>
      </w:pPr>
      <w:r>
        <w:rPr>
          <w:sz w:val="24"/>
          <w:szCs w:val="24"/>
        </w:rPr>
        <w:t>2. Дата та час розкриття тендерної пропозиції.</w:t>
      </w:r>
    </w:p>
    <w:p>
      <w:pPr>
        <w:tabs>
          <w:tab w:val="left" w:pos="284"/>
        </w:tabs>
        <w:ind w:left="284" w:right="142"/>
        <w:jc w:val="both"/>
        <w:rPr>
          <w:b/>
          <w:sz w:val="24"/>
          <w:szCs w:val="24"/>
        </w:rPr>
      </w:pPr>
      <w:r>
        <w:rPr>
          <w:b/>
          <w:sz w:val="24"/>
          <w:szCs w:val="24"/>
        </w:rPr>
        <w:t>Розділ 5. Оцінка тендерної пропозиції.</w:t>
      </w:r>
    </w:p>
    <w:p>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pPr>
        <w:tabs>
          <w:tab w:val="left" w:pos="284"/>
        </w:tabs>
        <w:ind w:left="284" w:right="142"/>
        <w:jc w:val="both"/>
        <w:rPr>
          <w:sz w:val="24"/>
          <w:szCs w:val="24"/>
        </w:rPr>
      </w:pPr>
      <w:r>
        <w:rPr>
          <w:sz w:val="24"/>
          <w:szCs w:val="24"/>
        </w:rPr>
        <w:t>2. Строк укладання договору.</w:t>
      </w:r>
    </w:p>
    <w:p>
      <w:pPr>
        <w:tabs>
          <w:tab w:val="left" w:pos="284"/>
        </w:tabs>
        <w:ind w:left="284" w:right="142"/>
        <w:jc w:val="both"/>
        <w:rPr>
          <w:sz w:val="24"/>
          <w:szCs w:val="24"/>
        </w:rPr>
      </w:pPr>
      <w:r>
        <w:rPr>
          <w:sz w:val="24"/>
          <w:szCs w:val="24"/>
        </w:rPr>
        <w:t>3. Проект договору про закупівлю.</w:t>
      </w:r>
    </w:p>
    <w:p>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pPr>
        <w:tabs>
          <w:tab w:val="left" w:pos="284"/>
        </w:tabs>
        <w:ind w:left="284" w:right="142"/>
        <w:jc w:val="both"/>
        <w:rPr>
          <w:sz w:val="24"/>
          <w:szCs w:val="24"/>
        </w:rPr>
      </w:pPr>
      <w:r>
        <w:rPr>
          <w:sz w:val="24"/>
          <w:szCs w:val="24"/>
        </w:rPr>
        <w:t>6. Забезпечення виконання договору про закупівлю.</w:t>
      </w:r>
    </w:p>
    <w:p>
      <w:pPr>
        <w:tabs>
          <w:tab w:val="left" w:pos="284"/>
        </w:tabs>
        <w:ind w:left="284" w:right="142"/>
        <w:jc w:val="both"/>
        <w:rPr>
          <w:sz w:val="24"/>
          <w:szCs w:val="24"/>
        </w:rPr>
      </w:pPr>
      <w:r>
        <w:rPr>
          <w:sz w:val="24"/>
          <w:szCs w:val="24"/>
        </w:rPr>
        <w:t>Додаток 1 - Форма «Тендерна пропозиція».</w:t>
      </w:r>
    </w:p>
    <w:p>
      <w:pPr>
        <w:pStyle w:val="2"/>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pPr>
        <w:tabs>
          <w:tab w:val="left" w:pos="284"/>
        </w:tabs>
        <w:ind w:left="284" w:right="142"/>
        <w:jc w:val="both"/>
        <w:rPr>
          <w:sz w:val="24"/>
          <w:szCs w:val="24"/>
          <w:lang w:val="ru-RU"/>
        </w:rPr>
      </w:pPr>
      <w:r>
        <w:rPr>
          <w:sz w:val="24"/>
          <w:szCs w:val="24"/>
        </w:rPr>
        <w:t>Додаток 5 – Проєкт договору про закупівлю послуг</w:t>
      </w:r>
      <w:r>
        <w:rPr>
          <w:sz w:val="24"/>
          <w:szCs w:val="24"/>
          <w:lang w:val="ru-RU"/>
        </w:rPr>
        <w:t>.</w:t>
      </w:r>
    </w:p>
    <w:p>
      <w:pPr>
        <w:tabs>
          <w:tab w:val="left" w:pos="284"/>
        </w:tabs>
        <w:ind w:left="284" w:right="142"/>
        <w:jc w:val="both"/>
        <w:rPr>
          <w:sz w:val="24"/>
          <w:szCs w:val="24"/>
        </w:rPr>
      </w:pPr>
      <w:r>
        <w:rPr>
          <w:sz w:val="24"/>
          <w:szCs w:val="24"/>
        </w:rPr>
        <w:t>Додаток 6 – Форма «Інформацію про учасника».</w:t>
      </w:r>
    </w:p>
    <w:p>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pPr>
        <w:pStyle w:val="11"/>
        <w:spacing w:before="1"/>
        <w:ind w:left="0"/>
        <w:rPr>
          <w:b/>
        </w:rPr>
      </w:pPr>
    </w:p>
    <w:p>
      <w:pPr>
        <w:widowControl/>
        <w:autoSpaceDE/>
        <w:autoSpaceDN/>
        <w:spacing w:after="160" w:line="259" w:lineRule="auto"/>
        <w:rPr>
          <w:sz w:val="24"/>
          <w:szCs w:val="24"/>
        </w:rPr>
      </w:pPr>
      <w:r>
        <w:rPr>
          <w:sz w:val="24"/>
          <w:szCs w:val="24"/>
        </w:rPr>
        <w:br w:type="page"/>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323"/>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pStyle w:val="11"/>
              <w:spacing w:line="242" w:lineRule="auto"/>
              <w:ind w:left="0"/>
              <w:jc w:val="center"/>
            </w:pPr>
            <w:r>
              <w:rPr>
                <w:b/>
              </w:rPr>
              <w:t>Розділ</w:t>
            </w:r>
            <w:r>
              <w:rPr>
                <w:b/>
                <w:spacing w:val="-2"/>
              </w:rPr>
              <w:t xml:space="preserve"> </w:t>
            </w:r>
            <w:r>
              <w:rPr>
                <w:b/>
              </w:rPr>
              <w:t>І. Загальні</w:t>
            </w:r>
            <w:r>
              <w:rPr>
                <w:b/>
                <w:spacing w:val="-5"/>
              </w:rPr>
              <w:t xml:space="preserve"> </w:t>
            </w:r>
            <w:r>
              <w:rPr>
                <w:b/>
              </w:rPr>
              <w:t>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pPr>
            <w:r>
              <w:rPr>
                <w:b/>
              </w:rPr>
              <w:t>1</w:t>
            </w:r>
          </w:p>
        </w:tc>
        <w:tc>
          <w:tcPr>
            <w:tcW w:w="1213" w:type="pct"/>
          </w:tcPr>
          <w:p>
            <w:pPr>
              <w:pStyle w:val="11"/>
              <w:spacing w:line="242" w:lineRule="auto"/>
              <w:ind w:left="0"/>
            </w:pPr>
            <w:r>
              <w:rPr>
                <w:b/>
              </w:rPr>
              <w:t>2</w:t>
            </w:r>
          </w:p>
        </w:tc>
        <w:tc>
          <w:tcPr>
            <w:tcW w:w="3410" w:type="pct"/>
          </w:tcPr>
          <w:p>
            <w:pPr>
              <w:pStyle w:val="11"/>
              <w:spacing w:line="242" w:lineRule="auto"/>
              <w:ind w:left="0"/>
            </w:pPr>
            <w:r>
              <w:rPr>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1</w:t>
            </w:r>
          </w:p>
        </w:tc>
        <w:tc>
          <w:tcPr>
            <w:tcW w:w="1213" w:type="pct"/>
          </w:tcPr>
          <w:p>
            <w:pPr>
              <w:pStyle w:val="11"/>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pPr>
              <w:pStyle w:val="20"/>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pPr>
              <w:pStyle w:val="20"/>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pPr>
              <w:pStyle w:val="20"/>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pPr>
              <w:pStyle w:val="20"/>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pPr>
              <w:pStyle w:val="20"/>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r>
              <w:fldChar w:fldCharType="begin"/>
            </w:r>
            <w:r>
              <w:instrText xml:space="preserve"> HYPERLINK "https://uk.wikipedia.org/wiki/%D0%94%D0%BE%D0%BA%D1%83%D0%BC%D0%B5%D0%BD%D1%82" \h </w:instrText>
            </w:r>
            <w:r>
              <w:fldChar w:fldCharType="separate"/>
            </w:r>
            <w:r>
              <w:rPr>
                <w:sz w:val="24"/>
                <w:szCs w:val="24"/>
              </w:rPr>
              <w:t>документ,</w:t>
            </w:r>
            <w:r>
              <w:rPr>
                <w:sz w:val="24"/>
                <w:szCs w:val="24"/>
              </w:rPr>
              <w:fldChar w:fldCharType="end"/>
            </w:r>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pPr>
              <w:pStyle w:val="20"/>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pPr>
              <w:pStyle w:val="20"/>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pPr>
              <w:pStyle w:val="20"/>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r>
              <w:fldChar w:fldCharType="begin"/>
            </w:r>
            <w:r>
              <w:instrText xml:space="preserve"> HYPERLINK "https://uk.wikipedia.org/wiki/%D0%9D%D0%B0%D0%B7%D0%B2%D0%B0_%D1%84%D0%B0%D0%B9%D0%BB%D1%83" \h </w:instrText>
            </w:r>
            <w:r>
              <w:fldChar w:fldCharType="separate"/>
            </w:r>
            <w:r>
              <w:rPr>
                <w:sz w:val="24"/>
                <w:szCs w:val="24"/>
              </w:rPr>
              <w:t>назви</w:t>
            </w:r>
            <w:r>
              <w:rPr>
                <w:spacing w:val="1"/>
                <w:sz w:val="24"/>
                <w:szCs w:val="24"/>
              </w:rPr>
              <w:t xml:space="preserve"> </w:t>
            </w:r>
            <w:r>
              <w:rPr>
                <w:sz w:val="24"/>
                <w:szCs w:val="24"/>
              </w:rPr>
              <w:t>файлу</w:t>
            </w:r>
            <w:r>
              <w:rPr>
                <w:sz w:val="24"/>
                <w:szCs w:val="24"/>
              </w:rPr>
              <w:fldChar w:fldCharType="end"/>
            </w:r>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r>
              <w:fldChar w:fldCharType="begin"/>
            </w:r>
            <w:r>
              <w:instrText xml:space="preserve"> HYPERLINK "https://uk.wikipedia.org/wiki/%D0%A4%D0%BE%D1%80%D0%BC%D0%B0%D1%82_%D1%84%D0%B0%D0%B9%D0%BB%D1%83" \h </w:instrText>
            </w:r>
            <w:r>
              <w:fldChar w:fldCharType="separate"/>
            </w:r>
            <w:r>
              <w:rPr>
                <w:sz w:val="24"/>
                <w:szCs w:val="24"/>
              </w:rPr>
              <w:t>формату</w:t>
            </w:r>
            <w:r>
              <w:rPr>
                <w:sz w:val="24"/>
                <w:szCs w:val="24"/>
              </w:rPr>
              <w:fldChar w:fldCharType="end"/>
            </w:r>
            <w:r>
              <w:rPr>
                <w:sz w:val="24"/>
                <w:szCs w:val="24"/>
              </w:rPr>
              <w:t xml:space="preserve">) </w:t>
            </w:r>
            <w:r>
              <w:fldChar w:fldCharType="begin"/>
            </w:r>
            <w:r>
              <w:instrText xml:space="preserve"> HYPERLINK "https://uk.wikipedia.org/wiki/%D0%A4%D0%B0%D0%B9%D0%BB" \h </w:instrText>
            </w:r>
            <w:r>
              <w:fldChar w:fldCharType="separate"/>
            </w:r>
            <w:r>
              <w:rPr>
                <w:sz w:val="24"/>
                <w:szCs w:val="24"/>
              </w:rPr>
              <w:t xml:space="preserve">файлу. </w:t>
            </w:r>
            <w:r>
              <w:rPr>
                <w:sz w:val="24"/>
                <w:szCs w:val="24"/>
              </w:rPr>
              <w:fldChar w:fldCharType="end"/>
            </w:r>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pPr>
              <w:pStyle w:val="20"/>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pPr>
              <w:pStyle w:val="20"/>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pPr>
              <w:pStyle w:val="11"/>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pPr>
              <w:pStyle w:val="11"/>
              <w:spacing w:line="242" w:lineRule="auto"/>
              <w:ind w:left="71"/>
              <w:jc w:val="both"/>
              <w:rPr>
                <w:shd w:val="clear" w:color="auto" w:fill="FDFEFD"/>
              </w:rPr>
            </w:pPr>
            <w:r>
              <w:rPr>
                <w:b/>
                <w:bCs/>
                <w:shd w:val="clear" w:color="auto" w:fill="FDFEFD"/>
              </w:rPr>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pPr>
              <w:pStyle w:val="11"/>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w:t>
            </w:r>
          </w:p>
        </w:tc>
        <w:tc>
          <w:tcPr>
            <w:tcW w:w="1213" w:type="pct"/>
          </w:tcPr>
          <w:p>
            <w:pPr>
              <w:pStyle w:val="11"/>
              <w:spacing w:line="242" w:lineRule="auto"/>
              <w:ind w:left="0"/>
              <w:rPr>
                <w:b/>
              </w:rPr>
            </w:pPr>
            <w:r>
              <w:rPr>
                <w:b/>
              </w:rPr>
              <w:t>Інформація про замовника торгів</w:t>
            </w:r>
          </w:p>
        </w:tc>
        <w:tc>
          <w:tcPr>
            <w:tcW w:w="3410" w:type="pct"/>
          </w:tcPr>
          <w:p>
            <w:pPr>
              <w:pStyle w:val="11"/>
              <w:spacing w:line="242" w:lineRule="auto"/>
              <w:ind w:left="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2.1</w:t>
            </w:r>
          </w:p>
        </w:tc>
        <w:tc>
          <w:tcPr>
            <w:tcW w:w="1213" w:type="pct"/>
          </w:tcPr>
          <w:p>
            <w:pPr>
              <w:pStyle w:val="11"/>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pPr>
              <w:pStyle w:val="20"/>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2.2</w:t>
            </w:r>
          </w:p>
        </w:tc>
        <w:tc>
          <w:tcPr>
            <w:tcW w:w="1213" w:type="pct"/>
          </w:tcPr>
          <w:p>
            <w:pPr>
              <w:pStyle w:val="11"/>
              <w:spacing w:line="242" w:lineRule="auto"/>
              <w:ind w:left="0"/>
              <w:rPr>
                <w:b/>
              </w:rPr>
            </w:pPr>
            <w:r>
              <w:rPr>
                <w:b/>
              </w:rPr>
              <w:t>місцезнаходження</w:t>
            </w:r>
          </w:p>
        </w:tc>
        <w:tc>
          <w:tcPr>
            <w:tcW w:w="3410" w:type="pct"/>
          </w:tcPr>
          <w:p>
            <w:pPr>
              <w:pStyle w:val="20"/>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2.3</w:t>
            </w:r>
          </w:p>
        </w:tc>
        <w:tc>
          <w:tcPr>
            <w:tcW w:w="1213" w:type="pct"/>
          </w:tcPr>
          <w:p>
            <w:pPr>
              <w:pStyle w:val="11"/>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r>
              <w:fldChar w:fldCharType="begin"/>
            </w:r>
            <w:r>
              <w:instrText xml:space="preserve"> HYPERLINK "mailto:v.kovalko.kvf@gmail.com" </w:instrText>
            </w:r>
            <w:r>
              <w:fldChar w:fldCharType="separate"/>
            </w:r>
            <w:r>
              <w:rPr>
                <w:rStyle w:val="6"/>
                <w:sz w:val="24"/>
                <w:szCs w:val="24"/>
              </w:rPr>
              <w:t>v.kovalko.kvf@gmail.com</w:t>
            </w:r>
            <w:r>
              <w:rPr>
                <w:rStyle w:val="6"/>
                <w:sz w:val="24"/>
                <w:szCs w:val="24"/>
              </w:rPr>
              <w:fldChar w:fldCharType="end"/>
            </w:r>
          </w:p>
          <w:p>
            <w:pPr>
              <w:pStyle w:val="20"/>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r>
              <w:rPr>
                <w:sz w:val="24"/>
                <w:szCs w:val="24"/>
              </w:rPr>
              <w:t>Макаревська Таміла Петрівна, начальник відділу організації роботи громадських вбиралень;</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r>
              <w:fldChar w:fldCharType="begin"/>
            </w:r>
            <w:r>
              <w:instrText xml:space="preserve"> HYPERLINK "mailto:kyivvodfond@kmda.gov.ua" \h </w:instrText>
            </w:r>
            <w:r>
              <w:fldChar w:fldCharType="separate"/>
            </w:r>
            <w:r>
              <w:rPr>
                <w:color w:val="0000FF"/>
                <w:sz w:val="24"/>
                <w:szCs w:val="24"/>
                <w:u w:val="single" w:color="0000FF"/>
              </w:rPr>
              <w:t>kyivvodfond@kmda.gov.ua</w:t>
            </w:r>
            <w:r>
              <w:rPr>
                <w:color w:val="0000FF"/>
                <w:sz w:val="24"/>
                <w:szCs w:val="24"/>
                <w:u w:val="single" w:color="0000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3</w:t>
            </w:r>
          </w:p>
        </w:tc>
        <w:tc>
          <w:tcPr>
            <w:tcW w:w="1213" w:type="pct"/>
          </w:tcPr>
          <w:p>
            <w:pPr>
              <w:pStyle w:val="11"/>
              <w:spacing w:line="242" w:lineRule="auto"/>
              <w:ind w:left="0"/>
              <w:rPr>
                <w:b/>
              </w:rPr>
            </w:pPr>
            <w:r>
              <w:rPr>
                <w:b/>
              </w:rPr>
              <w:t>Процедура закупівлі</w:t>
            </w:r>
          </w:p>
        </w:tc>
        <w:tc>
          <w:tcPr>
            <w:tcW w:w="3410" w:type="pct"/>
          </w:tcPr>
          <w:p>
            <w:pPr>
              <w:pStyle w:val="20"/>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4</w:t>
            </w:r>
          </w:p>
        </w:tc>
        <w:tc>
          <w:tcPr>
            <w:tcW w:w="1213" w:type="pct"/>
          </w:tcPr>
          <w:p>
            <w:pPr>
              <w:pStyle w:val="11"/>
              <w:spacing w:line="242" w:lineRule="auto"/>
              <w:ind w:left="0"/>
              <w:rPr>
                <w:b/>
              </w:rPr>
            </w:pPr>
            <w:r>
              <w:rPr>
                <w:b/>
              </w:rPr>
              <w:t>Інформація про предмет</w:t>
            </w:r>
            <w:r>
              <w:rPr>
                <w:b/>
                <w:spacing w:val="1"/>
              </w:rPr>
              <w:t xml:space="preserve"> </w:t>
            </w:r>
            <w:r>
              <w:rPr>
                <w:b/>
              </w:rPr>
              <w:t>закупівлі</w:t>
            </w:r>
          </w:p>
        </w:tc>
        <w:tc>
          <w:tcPr>
            <w:tcW w:w="3410" w:type="pct"/>
          </w:tcPr>
          <w:p>
            <w:pPr>
              <w:pStyle w:val="20"/>
              <w:tabs>
                <w:tab w:val="left" w:pos="1799"/>
                <w:tab w:val="left" w:pos="3833"/>
                <w:tab w:val="left" w:pos="5238"/>
              </w:tabs>
              <w:spacing w:line="259" w:lineRule="exact"/>
              <w:ind w:left="4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4.1</w:t>
            </w:r>
          </w:p>
        </w:tc>
        <w:tc>
          <w:tcPr>
            <w:tcW w:w="1213" w:type="pct"/>
          </w:tcPr>
          <w:p>
            <w:pPr>
              <w:pStyle w:val="11"/>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50310000-1 Технічне обслуговування і ремонт офісної техніки (Послуги з ремонту та технічного обслуговування реєстраторів розрахункових операцій)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4.2</w:t>
            </w:r>
          </w:p>
        </w:tc>
        <w:tc>
          <w:tcPr>
            <w:tcW w:w="1213" w:type="pct"/>
          </w:tcPr>
          <w:p>
            <w:pPr>
              <w:pStyle w:val="11"/>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4.3</w:t>
            </w:r>
          </w:p>
        </w:tc>
        <w:tc>
          <w:tcPr>
            <w:tcW w:w="1213" w:type="pct"/>
          </w:tcPr>
          <w:p>
            <w:pPr>
              <w:pStyle w:val="11"/>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Місце поставки товару –</w:t>
            </w:r>
            <w:r>
              <w:rPr>
                <w:color w:val="000000"/>
                <w:sz w:val="24"/>
                <w:szCs w:val="24"/>
                <w:lang w:eastAsia="ar-SA"/>
              </w:rPr>
              <w:t xml:space="preserve"> </w:t>
            </w:r>
            <w:r>
              <w:rPr>
                <w:sz w:val="24"/>
                <w:szCs w:val="24"/>
              </w:rPr>
              <w:t>за адресою Виконавця.</w:t>
            </w:r>
            <w:r>
              <w:rPr>
                <w:spacing w:val="3"/>
                <w:sz w:val="24"/>
                <w:szCs w:val="24"/>
              </w:rPr>
              <w:t xml:space="preserve"> </w:t>
            </w:r>
            <w:r>
              <w:rPr>
                <w:sz w:val="24"/>
                <w:szCs w:val="24"/>
              </w:rPr>
              <w:t>Кількість</w:t>
            </w:r>
            <w:r>
              <w:rPr>
                <w:spacing w:val="2"/>
                <w:sz w:val="24"/>
                <w:szCs w:val="24"/>
              </w:rPr>
              <w:t xml:space="preserve"> </w:t>
            </w:r>
            <w:r>
              <w:rPr>
                <w:sz w:val="24"/>
                <w:szCs w:val="24"/>
              </w:rPr>
              <w:t>послуг: 1 послуга для 12 реєстраторів розрахункових операцій.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4.4</w:t>
            </w:r>
          </w:p>
        </w:tc>
        <w:tc>
          <w:tcPr>
            <w:tcW w:w="1213" w:type="pct"/>
          </w:tcPr>
          <w:p>
            <w:pPr>
              <w:pStyle w:val="11"/>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з дати укладання договору, але не раніше 01.01.2024р. до 31.12.2024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5</w:t>
            </w:r>
          </w:p>
        </w:tc>
        <w:tc>
          <w:tcPr>
            <w:tcW w:w="1213" w:type="pct"/>
          </w:tcPr>
          <w:p>
            <w:pPr>
              <w:pStyle w:val="11"/>
              <w:spacing w:line="242" w:lineRule="auto"/>
              <w:ind w:left="0"/>
              <w:rPr>
                <w:b/>
              </w:rPr>
            </w:pPr>
            <w:r>
              <w:rPr>
                <w:b/>
              </w:rPr>
              <w:t>Недискримінація</w:t>
            </w:r>
            <w:r>
              <w:rPr>
                <w:b/>
                <w:spacing w:val="-57"/>
              </w:rPr>
              <w:t xml:space="preserve"> </w:t>
            </w:r>
            <w:r>
              <w:rPr>
                <w:b/>
              </w:rPr>
              <w:t>учасників</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6</w:t>
            </w:r>
          </w:p>
        </w:tc>
        <w:tc>
          <w:tcPr>
            <w:tcW w:w="1213" w:type="pct"/>
          </w:tcPr>
          <w:p>
            <w:pPr>
              <w:pStyle w:val="11"/>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pPr>
              <w:pStyle w:val="20"/>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pPr>
              <w:pStyle w:val="20"/>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pPr>
              <w:pStyle w:val="20"/>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7</w:t>
            </w:r>
          </w:p>
        </w:tc>
        <w:tc>
          <w:tcPr>
            <w:tcW w:w="1213" w:type="pct"/>
          </w:tcPr>
          <w:p>
            <w:pPr>
              <w:pStyle w:val="11"/>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pPr>
              <w:pStyle w:val="20"/>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pPr>
              <w:pStyle w:val="20"/>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pStyle w:val="20"/>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1</w:t>
            </w:r>
          </w:p>
        </w:tc>
        <w:tc>
          <w:tcPr>
            <w:tcW w:w="1213" w:type="pct"/>
          </w:tcPr>
          <w:p>
            <w:pPr>
              <w:pStyle w:val="11"/>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pPr>
              <w:pStyle w:val="20"/>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pPr>
              <w:pStyle w:val="20"/>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20"/>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w:t>
            </w:r>
          </w:p>
        </w:tc>
        <w:tc>
          <w:tcPr>
            <w:tcW w:w="1213" w:type="pct"/>
          </w:tcPr>
          <w:p>
            <w:pPr>
              <w:pStyle w:val="11"/>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20"/>
              <w:tabs>
                <w:tab w:val="left" w:pos="1799"/>
                <w:tab w:val="left" w:pos="3833"/>
                <w:tab w:val="left" w:pos="5238"/>
              </w:tabs>
              <w:spacing w:line="259" w:lineRule="exact"/>
              <w:ind w:left="3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pStyle w:val="20"/>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1</w:t>
            </w:r>
          </w:p>
        </w:tc>
        <w:tc>
          <w:tcPr>
            <w:tcW w:w="1213" w:type="pct"/>
          </w:tcPr>
          <w:p>
            <w:pPr>
              <w:pStyle w:val="11"/>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pPr>
              <w:pStyle w:val="20"/>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pPr>
              <w:pStyle w:val="20"/>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pPr>
              <w:pStyle w:val="20"/>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pPr>
              <w:pStyle w:val="20"/>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pPr>
              <w:pStyle w:val="20"/>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pPr>
              <w:pStyle w:val="20"/>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pPr>
              <w:pStyle w:val="20"/>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pPr>
              <w:pStyle w:val="20"/>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pPr>
              <w:pStyle w:val="20"/>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pPr>
              <w:pStyle w:val="20"/>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pPr>
              <w:pStyle w:val="20"/>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pPr>
              <w:pStyle w:val="20"/>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w:t>
            </w:r>
          </w:p>
        </w:tc>
        <w:tc>
          <w:tcPr>
            <w:tcW w:w="1213" w:type="pct"/>
          </w:tcPr>
          <w:p>
            <w:pPr>
              <w:pStyle w:val="11"/>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pPr>
              <w:pStyle w:val="20"/>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3</w:t>
            </w:r>
          </w:p>
        </w:tc>
        <w:tc>
          <w:tcPr>
            <w:tcW w:w="1213" w:type="pct"/>
          </w:tcPr>
          <w:p>
            <w:pPr>
              <w:pStyle w:val="20"/>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pPr>
              <w:pStyle w:val="11"/>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pPr>
              <w:pStyle w:val="20"/>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11"/>
              <w:spacing w:line="242" w:lineRule="auto"/>
              <w:ind w:left="0"/>
              <w:rPr>
                <w:b/>
              </w:rPr>
            </w:pPr>
            <w:r>
              <w:rPr>
                <w:b/>
                <w:iCs/>
              </w:rPr>
              <w:t>4</w:t>
            </w:r>
          </w:p>
        </w:tc>
        <w:tc>
          <w:tcPr>
            <w:tcW w:w="1213" w:type="pct"/>
            <w:vAlign w:val="center"/>
          </w:tcPr>
          <w:p>
            <w:pPr>
              <w:pStyle w:val="11"/>
              <w:spacing w:line="242" w:lineRule="auto"/>
              <w:ind w:left="0"/>
              <w:rPr>
                <w:b/>
              </w:rPr>
            </w:pPr>
            <w:r>
              <w:rPr>
                <w:b/>
                <w:iCs/>
              </w:rPr>
              <w:t>Строк, протягом якого тендерні пропозиції є дійсними</w:t>
            </w:r>
          </w:p>
        </w:tc>
        <w:tc>
          <w:tcPr>
            <w:tcW w:w="3410" w:type="pct"/>
            <w:vAlign w:val="center"/>
          </w:tcPr>
          <w:p>
            <w:pPr>
              <w:pStyle w:val="20"/>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pPr>
              <w:pStyle w:val="20"/>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20"/>
              <w:numPr>
                <w:ilvl w:val="0"/>
                <w:numId w:val="3"/>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pPr>
              <w:pStyle w:val="20"/>
              <w:numPr>
                <w:ilvl w:val="0"/>
                <w:numId w:val="4"/>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pPr>
              <w:pStyle w:val="20"/>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11"/>
              <w:spacing w:line="242" w:lineRule="auto"/>
              <w:ind w:left="0"/>
              <w:rPr>
                <w:b/>
              </w:rPr>
            </w:pPr>
            <w:r>
              <w:rPr>
                <w:b/>
                <w:iCs/>
              </w:rPr>
              <w:t>5</w:t>
            </w:r>
          </w:p>
        </w:tc>
        <w:tc>
          <w:tcPr>
            <w:tcW w:w="1213" w:type="pct"/>
            <w:vAlign w:val="center"/>
          </w:tcPr>
          <w:p>
            <w:pPr>
              <w:pStyle w:val="11"/>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pPr>
              <w:shd w:val="clear" w:color="auto" w:fill="FFFFFF"/>
              <w:ind w:left="35" w:right="128"/>
              <w:jc w:val="both"/>
              <w:rPr>
                <w:color w:val="000000"/>
                <w:sz w:val="24"/>
                <w:szCs w:val="24"/>
              </w:rPr>
            </w:pPr>
            <w:r>
              <w:rPr>
                <w:color w:val="000000"/>
                <w:sz w:val="24"/>
                <w:szCs w:val="24"/>
              </w:rPr>
              <w:t>1) наявність в учасника процедури закупівлі обладнання, матеріально-технічної бази та технологій;</w:t>
            </w:r>
          </w:p>
          <w:p>
            <w:pPr>
              <w:shd w:val="clear" w:color="auto" w:fill="FFFFFF"/>
              <w:ind w:left="35" w:right="128"/>
              <w:jc w:val="both"/>
              <w:rPr>
                <w:color w:val="000000"/>
                <w:sz w:val="24"/>
                <w:szCs w:val="24"/>
              </w:rPr>
            </w:pPr>
            <w:r>
              <w:rPr>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pPr>
              <w:shd w:val="clear" w:color="auto" w:fill="FFFFFF"/>
              <w:ind w:left="35" w:right="128"/>
              <w:jc w:val="both"/>
              <w:rPr>
                <w:color w:val="000000"/>
                <w:sz w:val="24"/>
                <w:szCs w:val="24"/>
              </w:rPr>
            </w:pPr>
            <w:r>
              <w:rPr>
                <w:color w:val="000000"/>
                <w:sz w:val="24"/>
                <w:szCs w:val="24"/>
              </w:rPr>
              <w:t xml:space="preserve">3) наявність документально підтвердженого досвіду виконання аналогічного (аналогічних) за предметом закупівлі договору (договорів). </w:t>
            </w:r>
          </w:p>
          <w:p>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11"/>
              <w:spacing w:line="242" w:lineRule="auto"/>
              <w:ind w:left="0"/>
              <w:rPr>
                <w:b/>
              </w:rPr>
            </w:pPr>
            <w:r>
              <w:rPr>
                <w:b/>
                <w:iCs/>
              </w:rPr>
              <w:t>6</w:t>
            </w:r>
          </w:p>
        </w:tc>
        <w:tc>
          <w:tcPr>
            <w:tcW w:w="1213" w:type="pct"/>
            <w:vAlign w:val="center"/>
          </w:tcPr>
          <w:p>
            <w:pPr>
              <w:pStyle w:val="11"/>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10" w:type="pct"/>
            <w:vAlign w:val="center"/>
          </w:tcPr>
          <w:p>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pPr>
              <w:pStyle w:val="20"/>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11"/>
              <w:spacing w:line="242" w:lineRule="auto"/>
              <w:ind w:left="0"/>
              <w:rPr>
                <w:b/>
              </w:rPr>
            </w:pPr>
            <w:r>
              <w:rPr>
                <w:b/>
                <w:iCs/>
              </w:rPr>
              <w:t>7</w:t>
            </w:r>
          </w:p>
        </w:tc>
        <w:tc>
          <w:tcPr>
            <w:tcW w:w="1213" w:type="pct"/>
            <w:vAlign w:val="center"/>
          </w:tcPr>
          <w:p>
            <w:pPr>
              <w:pStyle w:val="11"/>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pPr>
              <w:pStyle w:val="20"/>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r>
            <w:r>
              <w:rPr>
                <w:sz w:val="24"/>
                <w:szCs w:val="24"/>
              </w:rPr>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pPr>
              <w:pStyle w:val="20"/>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11"/>
              <w:spacing w:line="242" w:lineRule="auto"/>
              <w:ind w:left="0"/>
              <w:rPr>
                <w:b/>
              </w:rPr>
            </w:pPr>
            <w:r>
              <w:rPr>
                <w:b/>
                <w:iCs/>
              </w:rPr>
              <w:t>8</w:t>
            </w:r>
          </w:p>
        </w:tc>
        <w:tc>
          <w:tcPr>
            <w:tcW w:w="1213" w:type="pct"/>
            <w:vAlign w:val="center"/>
          </w:tcPr>
          <w:p>
            <w:pPr>
              <w:pStyle w:val="11"/>
              <w:spacing w:line="242" w:lineRule="auto"/>
              <w:ind w:left="0"/>
              <w:rPr>
                <w:b/>
              </w:rPr>
            </w:pPr>
            <w:r>
              <w:rPr>
                <w:b/>
                <w:iCs/>
              </w:rPr>
              <w:t>Інформація про субпідрядника (у випадку закупівлі робіт або послуг)</w:t>
            </w:r>
          </w:p>
        </w:tc>
        <w:tc>
          <w:tcPr>
            <w:tcW w:w="3410" w:type="pct"/>
          </w:tcPr>
          <w:p>
            <w:pPr>
              <w:pStyle w:val="20"/>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11"/>
              <w:spacing w:line="242" w:lineRule="auto"/>
              <w:ind w:left="0"/>
              <w:rPr>
                <w:b/>
              </w:rPr>
            </w:pPr>
            <w:r>
              <w:rPr>
                <w:b/>
                <w:iCs/>
              </w:rPr>
              <w:t>9</w:t>
            </w:r>
          </w:p>
        </w:tc>
        <w:tc>
          <w:tcPr>
            <w:tcW w:w="1213" w:type="pct"/>
            <w:vAlign w:val="center"/>
          </w:tcPr>
          <w:p>
            <w:pPr>
              <w:pStyle w:val="11"/>
              <w:spacing w:line="242" w:lineRule="auto"/>
              <w:ind w:left="0"/>
              <w:rPr>
                <w:b/>
              </w:rPr>
            </w:pPr>
            <w:r>
              <w:rPr>
                <w:b/>
                <w:iCs/>
              </w:rPr>
              <w:t>Унесення змін або відкликання тендерної пропозиції учасником</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pStyle w:val="20"/>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pStyle w:val="11"/>
              <w:spacing w:line="242" w:lineRule="auto"/>
              <w:ind w:left="0"/>
              <w:rPr>
                <w:b/>
              </w:rPr>
            </w:pPr>
            <w:r>
              <w:rPr>
                <w:b/>
                <w:iCs/>
              </w:rPr>
              <w:t>1</w:t>
            </w:r>
          </w:p>
        </w:tc>
        <w:tc>
          <w:tcPr>
            <w:tcW w:w="1213" w:type="pct"/>
            <w:vAlign w:val="center"/>
          </w:tcPr>
          <w:p>
            <w:pPr>
              <w:pStyle w:val="11"/>
              <w:spacing w:line="242" w:lineRule="auto"/>
              <w:ind w:left="0"/>
              <w:rPr>
                <w:b/>
              </w:rPr>
            </w:pPr>
            <w:r>
              <w:rPr>
                <w:b/>
                <w:iCs/>
              </w:rPr>
              <w:t>Кінцевий строк подання тендерної пропозиції</w:t>
            </w:r>
          </w:p>
        </w:tc>
        <w:tc>
          <w:tcPr>
            <w:tcW w:w="3410" w:type="pct"/>
            <w:vAlign w:val="center"/>
          </w:tcPr>
          <w:p>
            <w:pPr>
              <w:ind w:left="35"/>
              <w:jc w:val="both"/>
              <w:rPr>
                <w:bCs/>
                <w:iCs/>
                <w:sz w:val="24"/>
                <w:szCs w:val="24"/>
              </w:rPr>
            </w:pPr>
            <w:r>
              <w:rPr>
                <w:bCs/>
                <w:iCs/>
                <w:sz w:val="24"/>
                <w:szCs w:val="24"/>
              </w:rPr>
              <w:t xml:space="preserve">Кінцевий строк подання тендерних пропозицій </w:t>
            </w:r>
            <w:r>
              <w:rPr>
                <w:rFonts w:hint="default"/>
                <w:bCs/>
                <w:iCs/>
                <w:sz w:val="24"/>
                <w:szCs w:val="24"/>
                <w:lang w:val="uk-UA"/>
              </w:rPr>
              <w:t>14</w:t>
            </w:r>
            <w:r>
              <w:rPr>
                <w:bCs/>
                <w:iCs/>
                <w:sz w:val="24"/>
                <w:szCs w:val="24"/>
              </w:rPr>
              <w:t>.</w:t>
            </w:r>
            <w:r>
              <w:rPr>
                <w:rFonts w:hint="default"/>
                <w:bCs/>
                <w:iCs/>
                <w:sz w:val="24"/>
                <w:szCs w:val="24"/>
                <w:lang w:val="uk-UA"/>
              </w:rPr>
              <w:t>12</w:t>
            </w:r>
            <w:r>
              <w:rPr>
                <w:bCs/>
                <w:iCs/>
                <w:sz w:val="24"/>
                <w:szCs w:val="24"/>
              </w:rPr>
              <w:t>.2023 року.</w:t>
            </w:r>
          </w:p>
          <w:p>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20"/>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w:t>
            </w:r>
          </w:p>
        </w:tc>
        <w:tc>
          <w:tcPr>
            <w:tcW w:w="1213" w:type="pct"/>
          </w:tcPr>
          <w:p>
            <w:pPr>
              <w:pStyle w:val="11"/>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pPr>
              <w:pStyle w:val="20"/>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3"/>
          </w:tcPr>
          <w:p>
            <w:pPr>
              <w:pStyle w:val="20"/>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377" w:type="pct"/>
          </w:tcPr>
          <w:p>
            <w:pPr>
              <w:pStyle w:val="11"/>
              <w:spacing w:line="242" w:lineRule="auto"/>
              <w:ind w:left="0"/>
              <w:rPr>
                <w:b/>
              </w:rPr>
            </w:pPr>
            <w:r>
              <w:rPr>
                <w:b/>
              </w:rPr>
              <w:t>1</w:t>
            </w:r>
          </w:p>
        </w:tc>
        <w:tc>
          <w:tcPr>
            <w:tcW w:w="1213" w:type="pct"/>
          </w:tcPr>
          <w:p>
            <w:pPr>
              <w:pStyle w:val="20"/>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pPr>
              <w:pStyle w:val="20"/>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pPr>
              <w:pStyle w:val="11"/>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pPr>
              <w:jc w:val="both"/>
              <w:rPr>
                <w:b/>
                <w:bCs/>
                <w:sz w:val="24"/>
                <w:szCs w:val="24"/>
              </w:rPr>
            </w:pPr>
            <w:r>
              <w:rPr>
                <w:sz w:val="24"/>
                <w:szCs w:val="24"/>
                <w:shd w:val="clear" w:color="auto" w:fill="FFFFFF"/>
              </w:rPr>
              <w:t xml:space="preserve">Очікувана вартість предмету закупівлі: </w:t>
            </w:r>
            <w:r>
              <w:rPr>
                <w:b/>
                <w:color w:val="000000"/>
                <w:sz w:val="24"/>
                <w:szCs w:val="24"/>
              </w:rPr>
              <w:t xml:space="preserve">58608,00 грн. (п’ятдесят вісім тисяч шістсот вісім грн 0 коп.). </w:t>
            </w:r>
            <w:r>
              <w:rPr>
                <w:b/>
                <w:bCs/>
                <w:sz w:val="24"/>
                <w:szCs w:val="24"/>
              </w:rPr>
              <w:t>Ціна тендерної пропозиції не може перевищувати очікувану вартість предмета закупівлі.</w:t>
            </w:r>
          </w:p>
          <w:p>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pPr>
              <w:pStyle w:val="19"/>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9"/>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19"/>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pPr>
              <w:pStyle w:val="19"/>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20"/>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pPr>
              <w:pStyle w:val="20"/>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2</w:t>
            </w:r>
          </w:p>
        </w:tc>
        <w:tc>
          <w:tcPr>
            <w:tcW w:w="1213" w:type="pct"/>
          </w:tcPr>
          <w:p>
            <w:pPr>
              <w:pStyle w:val="11"/>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pPr>
              <w:pStyle w:val="20"/>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pPr>
              <w:pStyle w:val="20"/>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pPr>
              <w:pStyle w:val="20"/>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pPr>
              <w:pStyle w:val="20"/>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pPr>
              <w:pStyle w:val="20"/>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pPr>
              <w:pStyle w:val="20"/>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pPr>
              <w:pStyle w:val="20"/>
              <w:spacing w:line="242" w:lineRule="auto"/>
              <w:ind w:left="35" w:right="26"/>
              <w:jc w:val="both"/>
              <w:rPr>
                <w:i/>
                <w:sz w:val="24"/>
                <w:szCs w:val="24"/>
              </w:rPr>
            </w:pPr>
            <w:r>
              <w:rPr>
                <w:i/>
                <w:sz w:val="24"/>
                <w:szCs w:val="24"/>
              </w:rPr>
              <w:t>Наприклад: зазначення в довідці русизмів, сленгових слів або</w:t>
            </w:r>
            <w:r>
              <w:rPr>
                <w:i/>
                <w:spacing w:val="-57"/>
                <w:sz w:val="24"/>
                <w:szCs w:val="24"/>
              </w:rPr>
              <w:t xml:space="preserve"> </w:t>
            </w:r>
            <w:r>
              <w:rPr>
                <w:i/>
                <w:sz w:val="24"/>
                <w:szCs w:val="24"/>
              </w:rPr>
              <w:t>технічних помилок;</w:t>
            </w:r>
          </w:p>
          <w:p>
            <w:pPr>
              <w:pStyle w:val="20"/>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pPr>
              <w:pStyle w:val="20"/>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pPr>
              <w:pStyle w:val="20"/>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pPr>
              <w:pStyle w:val="20"/>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r>
            <w:r>
              <w:rPr>
                <w:i/>
                <w:sz w:val="24"/>
                <w:szCs w:val="24"/>
              </w:rPr>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pPr>
              <w:pStyle w:val="20"/>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pPr>
              <w:pStyle w:val="20"/>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pPr>
              <w:pStyle w:val="20"/>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pPr>
              <w:pStyle w:val="20"/>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pPr>
              <w:pStyle w:val="20"/>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pPr>
              <w:pStyle w:val="20"/>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3</w:t>
            </w:r>
          </w:p>
        </w:tc>
        <w:tc>
          <w:tcPr>
            <w:tcW w:w="1213" w:type="pct"/>
          </w:tcPr>
          <w:p>
            <w:pPr>
              <w:pStyle w:val="11"/>
              <w:spacing w:line="242" w:lineRule="auto"/>
              <w:ind w:left="0"/>
              <w:rPr>
                <w:b/>
              </w:rPr>
            </w:pPr>
            <w:r>
              <w:rPr>
                <w:b/>
              </w:rPr>
              <w:t>Інша</w:t>
            </w:r>
            <w:r>
              <w:rPr>
                <w:b/>
                <w:spacing w:val="-2"/>
              </w:rPr>
              <w:t xml:space="preserve"> </w:t>
            </w:r>
            <w:r>
              <w:rPr>
                <w:b/>
              </w:rPr>
              <w:t>інформація</w:t>
            </w:r>
          </w:p>
        </w:tc>
        <w:tc>
          <w:tcPr>
            <w:tcW w:w="3410" w:type="pct"/>
            <w:vAlign w:val="center"/>
          </w:tcPr>
          <w:p>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jc w:val="both"/>
              <w:rPr>
                <w:sz w:val="24"/>
                <w:szCs w:val="24"/>
              </w:rPr>
            </w:pPr>
            <w:r>
              <w:rPr>
                <w:sz w:val="24"/>
                <w:szCs w:val="24"/>
              </w:rPr>
              <w:t xml:space="preserve">Вартість пропозиції та всі інші ціни повинні бути чітко визначені. </w:t>
            </w:r>
          </w:p>
          <w:p>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pPr>
              <w:jc w:val="center"/>
              <w:rPr>
                <w:b/>
                <w:sz w:val="24"/>
                <w:szCs w:val="24"/>
              </w:rPr>
            </w:pPr>
            <w:r>
              <w:rPr>
                <w:b/>
                <w:sz w:val="24"/>
                <w:szCs w:val="24"/>
              </w:rPr>
              <w:t>Електронний аукціон</w:t>
            </w:r>
          </w:p>
          <w:p>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pPr>
              <w:jc w:val="both"/>
              <w:rPr>
                <w:sz w:val="24"/>
                <w:szCs w:val="24"/>
              </w:rPr>
            </w:pPr>
            <w:bookmarkStart w:id="1" w:name="gjdgxs" w:colFirst="0" w:colLast="0"/>
            <w:bookmarkEnd w:id="1"/>
            <w:bookmarkStart w:id="2" w:name="1fob9te" w:colFirst="0" w:colLast="0"/>
            <w:bookmarkEnd w:id="2"/>
            <w:bookmarkStart w:id="3" w:name="2et92p0" w:colFirst="0" w:colLast="0"/>
            <w:bookmarkEnd w:id="3"/>
            <w:bookmarkStart w:id="4" w:name="3znysh7" w:colFirst="0" w:colLast="0"/>
            <w:bookmarkEnd w:id="4"/>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20"/>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4</w:t>
            </w:r>
          </w:p>
        </w:tc>
        <w:tc>
          <w:tcPr>
            <w:tcW w:w="1213" w:type="pct"/>
          </w:tcPr>
          <w:p>
            <w:pPr>
              <w:pStyle w:val="11"/>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pPr>
              <w:tabs>
                <w:tab w:val="left" w:pos="6653"/>
                <w:tab w:val="left" w:pos="6794"/>
              </w:tabs>
              <w:jc w:val="both"/>
              <w:rPr>
                <w:sz w:val="24"/>
                <w:szCs w:val="24"/>
              </w:rPr>
            </w:pPr>
            <w:r>
              <w:rPr>
                <w:sz w:val="24"/>
                <w:szCs w:val="24"/>
              </w:rPr>
              <w:t>1) учасник процедури закупівлі:</w:t>
            </w:r>
          </w:p>
          <w:p>
            <w:pPr>
              <w:pStyle w:val="23"/>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r>
              <w:fldChar w:fldCharType="begin"/>
            </w:r>
            <w:r>
              <w:instrText xml:space="preserve"> HYPERLINK "https://zakon.rada.gov.ua/laws/show/1178-2022-%D0%BF" \l "n615" </w:instrText>
            </w:r>
            <w:r>
              <w:fldChar w:fldCharType="separate"/>
            </w:r>
            <w:r>
              <w:rPr>
                <w:rStyle w:val="6"/>
                <w:color w:val="auto"/>
              </w:rPr>
              <w:t>пунктом 47</w:t>
            </w:r>
            <w:r>
              <w:rPr>
                <w:rStyle w:val="6"/>
                <w:color w:val="auto"/>
              </w:rPr>
              <w:fldChar w:fldCharType="end"/>
            </w:r>
            <w:r>
              <w:t> Особливостей;</w:t>
            </w:r>
          </w:p>
          <w:p>
            <w:pPr>
              <w:pStyle w:val="23"/>
              <w:numPr>
                <w:ilvl w:val="0"/>
                <w:numId w:val="7"/>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 xml:space="preserve"> HYPERLINK "https://zakon.rada.gov.ua/laws/show/1178-2022-%D0%BF" \l "n586" </w:instrText>
            </w:r>
            <w:r>
              <w:fldChar w:fldCharType="separate"/>
            </w:r>
            <w:r>
              <w:rPr>
                <w:rStyle w:val="6"/>
                <w:color w:val="auto"/>
              </w:rPr>
              <w:t>абзацом першим</w:t>
            </w:r>
            <w:r>
              <w:rPr>
                <w:rStyle w:val="6"/>
                <w:color w:val="auto"/>
              </w:rPr>
              <w:fldChar w:fldCharType="end"/>
            </w:r>
            <w:r>
              <w:t> пункту 42 Особливостей;</w:t>
            </w:r>
          </w:p>
          <w:p>
            <w:pPr>
              <w:pStyle w:val="23"/>
              <w:numPr>
                <w:ilvl w:val="0"/>
                <w:numId w:val="7"/>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pPr>
              <w:pStyle w:val="23"/>
              <w:numPr>
                <w:ilvl w:val="0"/>
                <w:numId w:val="7"/>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23"/>
              <w:numPr>
                <w:ilvl w:val="0"/>
                <w:numId w:val="7"/>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color w:val="auto"/>
              </w:rPr>
              <w:t>абзацом першим</w:t>
            </w:r>
            <w:r>
              <w:rPr>
                <w:rStyle w:val="6"/>
                <w:color w:val="auto"/>
              </w:rPr>
              <w:fldChar w:fldCharType="end"/>
            </w:r>
            <w:r>
              <w:t> частини чотирнадцятої статті 29 Закону/</w:t>
            </w:r>
            <w:r>
              <w:fldChar w:fldCharType="begin"/>
            </w:r>
            <w:r>
              <w:instrText xml:space="preserve"> HYPERLINK "https://zakon.rada.gov.ua/laws/show/1178-2022-%D0%BF" \l "n581" </w:instrText>
            </w:r>
            <w:r>
              <w:fldChar w:fldCharType="separate"/>
            </w:r>
            <w:r>
              <w:rPr>
                <w:rStyle w:val="6"/>
                <w:color w:val="auto"/>
              </w:rPr>
              <w:t>абзацом дев’ятим</w:t>
            </w:r>
            <w:r>
              <w:rPr>
                <w:rStyle w:val="6"/>
                <w:color w:val="auto"/>
              </w:rPr>
              <w:fldChar w:fldCharType="end"/>
            </w:r>
            <w:r>
              <w:t> пункту 37 Особливостей;</w:t>
            </w:r>
          </w:p>
          <w:p>
            <w:pPr>
              <w:pStyle w:val="23"/>
              <w:numPr>
                <w:ilvl w:val="0"/>
                <w:numId w:val="7"/>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 \l "n584" </w:instrText>
            </w:r>
            <w:r>
              <w:fldChar w:fldCharType="separate"/>
            </w:r>
            <w:r>
              <w:rPr>
                <w:rStyle w:val="6"/>
                <w:color w:val="auto"/>
              </w:rPr>
              <w:t>пункту 40</w:t>
            </w:r>
            <w:r>
              <w:rPr>
                <w:rStyle w:val="6"/>
                <w:color w:val="auto"/>
              </w:rPr>
              <w:fldChar w:fldCharType="end"/>
            </w:r>
            <w:r>
              <w:t> Особливостей;</w:t>
            </w:r>
          </w:p>
          <w:p>
            <w:pPr>
              <w:pStyle w:val="23"/>
              <w:numPr>
                <w:ilvl w:val="0"/>
                <w:numId w:val="7"/>
              </w:numPr>
              <w:shd w:val="clear" w:color="auto" w:fill="FFFFFF"/>
              <w:spacing w:before="0" w:beforeAutospacing="0" w:after="0" w:afterAutospacing="0"/>
              <w:ind w:left="0" w:firstLine="71"/>
              <w:jc w:val="both"/>
            </w:pPr>
            <w:bookmarkStart w:id="10" w:name="n599"/>
            <w:bookmarkEnd w:id="10"/>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tabs>
                <w:tab w:val="left" w:pos="6653"/>
                <w:tab w:val="left" w:pos="6794"/>
              </w:tabs>
              <w:jc w:val="both"/>
              <w:rPr>
                <w:sz w:val="24"/>
                <w:szCs w:val="24"/>
              </w:rPr>
            </w:pPr>
            <w:r>
              <w:rPr>
                <w:sz w:val="24"/>
                <w:szCs w:val="24"/>
              </w:rPr>
              <w:t>2) тендерна пропозиція:</w:t>
            </w:r>
          </w:p>
          <w:p>
            <w:pPr>
              <w:pStyle w:val="19"/>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pPr>
              <w:pStyle w:val="19"/>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pPr>
              <w:pStyle w:val="19"/>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9"/>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pPr>
              <w:tabs>
                <w:tab w:val="left" w:pos="6653"/>
                <w:tab w:val="left" w:pos="6794"/>
              </w:tabs>
              <w:jc w:val="both"/>
              <w:rPr>
                <w:sz w:val="24"/>
                <w:szCs w:val="24"/>
              </w:rPr>
            </w:pPr>
            <w:r>
              <w:rPr>
                <w:sz w:val="24"/>
                <w:szCs w:val="24"/>
              </w:rPr>
              <w:t>3) переможець процедури закупівлі:</w:t>
            </w:r>
          </w:p>
          <w:p>
            <w:pPr>
              <w:pStyle w:val="19"/>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19"/>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pPr>
              <w:pStyle w:val="19"/>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19"/>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pPr>
              <w:pStyle w:val="19"/>
              <w:widowControl/>
              <w:numPr>
                <w:ilvl w:val="0"/>
                <w:numId w:val="9"/>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pPr>
              <w:tabs>
                <w:tab w:val="left" w:pos="686"/>
                <w:tab w:val="left" w:pos="6794"/>
              </w:tabs>
              <w:jc w:val="both"/>
              <w:rPr>
                <w:sz w:val="24"/>
                <w:szCs w:val="24"/>
              </w:rPr>
            </w:pPr>
            <w:r>
              <w:rPr>
                <w:sz w:val="24"/>
                <w:szCs w:val="24"/>
              </w:rPr>
              <w:t>1)</w:t>
            </w:r>
            <w:r>
              <w:rPr>
                <w:sz w:val="24"/>
                <w:szCs w:val="24"/>
              </w:rPr>
              <w:tab/>
            </w:r>
            <w:r>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pPr>
              <w:pStyle w:val="20"/>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fldChar w:fldCharType="begin"/>
            </w:r>
            <w:r>
              <w:instrText xml:space="preserve"> HYPERLINK "https://zakon.rada.gov.ua/laws/show/922-19" \l "n1039" \t "_blank" </w:instrText>
            </w:r>
            <w:r>
              <w:fldChar w:fldCharType="separate"/>
            </w:r>
            <w:r>
              <w:rPr>
                <w:rStyle w:val="6"/>
                <w:rFonts w:eastAsia="Calibri"/>
                <w:sz w:val="24"/>
                <w:szCs w:val="24"/>
                <w:shd w:val="clear" w:color="auto" w:fill="FFFFFF"/>
              </w:rPr>
              <w:t>статті 10</w:t>
            </w:r>
            <w:r>
              <w:rPr>
                <w:rStyle w:val="6"/>
                <w:rFonts w:eastAsia="Calibri"/>
                <w:sz w:val="24"/>
                <w:szCs w:val="24"/>
                <w:shd w:val="clear" w:color="auto" w:fill="FFFFFF"/>
              </w:rPr>
              <w:fldChar w:fldCharType="end"/>
            </w:r>
            <w:r>
              <w:rPr>
                <w:sz w:val="24"/>
                <w:szCs w:val="24"/>
                <w:shd w:val="clear" w:color="auto" w:fill="FFFFFF"/>
              </w:rPr>
              <w:t>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pStyle w:val="20"/>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1</w:t>
            </w:r>
          </w:p>
        </w:tc>
        <w:tc>
          <w:tcPr>
            <w:tcW w:w="1213" w:type="pct"/>
          </w:tcPr>
          <w:p>
            <w:pPr>
              <w:pStyle w:val="20"/>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pPr>
              <w:pStyle w:val="20"/>
              <w:spacing w:line="259" w:lineRule="exact"/>
              <w:ind w:left="35"/>
              <w:jc w:val="both"/>
              <w:rPr>
                <w:sz w:val="24"/>
                <w:szCs w:val="24"/>
              </w:rPr>
            </w:pPr>
            <w:r>
              <w:rPr>
                <w:sz w:val="24"/>
                <w:szCs w:val="24"/>
              </w:rPr>
              <w:t>Замовник відміняє відкриті торги у разі:</w:t>
            </w:r>
          </w:p>
          <w:p>
            <w:pPr>
              <w:pStyle w:val="20"/>
              <w:spacing w:line="259" w:lineRule="exact"/>
              <w:ind w:left="35"/>
              <w:jc w:val="both"/>
              <w:rPr>
                <w:sz w:val="24"/>
                <w:szCs w:val="24"/>
              </w:rPr>
            </w:pPr>
            <w:r>
              <w:rPr>
                <w:sz w:val="24"/>
                <w:szCs w:val="24"/>
              </w:rPr>
              <w:t>1) відсутності подальшої потреби в закупівлі товарів, робіт чи послуг;</w:t>
            </w:r>
          </w:p>
          <w:p>
            <w:pPr>
              <w:pStyle w:val="20"/>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20"/>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pPr>
              <w:pStyle w:val="20"/>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pPr>
              <w:pStyle w:val="20"/>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20"/>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pPr>
              <w:pStyle w:val="20"/>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20"/>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20"/>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20"/>
              <w:spacing w:line="259" w:lineRule="exact"/>
              <w:ind w:left="35"/>
              <w:jc w:val="both"/>
              <w:rPr>
                <w:sz w:val="24"/>
                <w:szCs w:val="24"/>
              </w:rPr>
            </w:pPr>
            <w:r>
              <w:rPr>
                <w:sz w:val="24"/>
                <w:szCs w:val="24"/>
              </w:rPr>
              <w:t>Відкриті торги можуть бути відмінені частково (за лотом).</w:t>
            </w:r>
          </w:p>
          <w:p>
            <w:pPr>
              <w:pStyle w:val="20"/>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jc w:val="both"/>
              <w:rPr>
                <w:b/>
              </w:rPr>
            </w:pPr>
            <w:r>
              <w:rPr>
                <w:b/>
              </w:rPr>
              <w:t>2</w:t>
            </w:r>
          </w:p>
        </w:tc>
        <w:tc>
          <w:tcPr>
            <w:tcW w:w="1213" w:type="pct"/>
          </w:tcPr>
          <w:p>
            <w:pPr>
              <w:pStyle w:val="11"/>
              <w:spacing w:line="242" w:lineRule="auto"/>
              <w:ind w:left="0"/>
              <w:jc w:val="both"/>
              <w:rPr>
                <w:b/>
              </w:rPr>
            </w:pPr>
            <w:r>
              <w:rPr>
                <w:b/>
              </w:rPr>
              <w:t>Строк укладання</w:t>
            </w:r>
            <w:r>
              <w:rPr>
                <w:b/>
                <w:spacing w:val="-57"/>
              </w:rPr>
              <w:t xml:space="preserve"> </w:t>
            </w:r>
            <w:r>
              <w:rPr>
                <w:b/>
              </w:rPr>
              <w:t>договору</w:t>
            </w:r>
          </w:p>
        </w:tc>
        <w:tc>
          <w:tcPr>
            <w:tcW w:w="3410" w:type="pct"/>
          </w:tcPr>
          <w:p>
            <w:pPr>
              <w:pStyle w:val="20"/>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20"/>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3</w:t>
            </w:r>
          </w:p>
        </w:tc>
        <w:tc>
          <w:tcPr>
            <w:tcW w:w="1213" w:type="pct"/>
          </w:tcPr>
          <w:p>
            <w:pPr>
              <w:pStyle w:val="11"/>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r>
              <w:fldChar w:fldCharType="begin"/>
            </w:r>
            <w:r>
              <w:instrText xml:space="preserve"> HYPERLINK "https://zakon.rada.gov.ua/laws/show/922-19" \l "n1760" \t "_blank" </w:instrText>
            </w:r>
            <w:r>
              <w:fldChar w:fldCharType="separate"/>
            </w:r>
            <w:r>
              <w:rPr>
                <w:color w:val="000000"/>
                <w:sz w:val="24"/>
                <w:szCs w:val="24"/>
              </w:rPr>
              <w:t>статті 41</w:t>
            </w:r>
            <w:r>
              <w:rPr>
                <w:color w:val="000000"/>
                <w:sz w:val="24"/>
                <w:szCs w:val="24"/>
              </w:rPr>
              <w:fldChar w:fldCharType="end"/>
            </w:r>
            <w:r>
              <w:rPr>
                <w:color w:val="000000"/>
                <w:sz w:val="24"/>
                <w:szCs w:val="24"/>
              </w:rPr>
              <w:t> Закону, крім частин </w:t>
            </w:r>
            <w:r>
              <w:fldChar w:fldCharType="begin"/>
            </w:r>
            <w:r>
              <w:instrText xml:space="preserve"> HYPERLINK "https://zakon.rada.gov.ua/laws/show/922-19" \l "n1766" \t "_blank" </w:instrText>
            </w:r>
            <w:r>
              <w:fldChar w:fldCharType="separate"/>
            </w:r>
            <w:r>
              <w:rPr>
                <w:color w:val="000000"/>
                <w:sz w:val="24"/>
                <w:szCs w:val="24"/>
              </w:rPr>
              <w:t>третьої - п’ятої</w:t>
            </w:r>
            <w:r>
              <w:rPr>
                <w:color w:val="000000"/>
                <w:sz w:val="24"/>
                <w:szCs w:val="24"/>
              </w:rPr>
              <w:fldChar w:fldCharType="end"/>
            </w:r>
            <w:r>
              <w:rPr>
                <w:color w:val="000000"/>
                <w:sz w:val="24"/>
                <w:szCs w:val="24"/>
              </w:rPr>
              <w:t>, </w:t>
            </w:r>
            <w:r>
              <w:fldChar w:fldCharType="begin"/>
            </w:r>
            <w:r>
              <w:instrText xml:space="preserve"> HYPERLINK "https://zakon.rada.gov.ua/laws/show/922-19" \l "n1779" \t "_blank" </w:instrText>
            </w:r>
            <w:r>
              <w:fldChar w:fldCharType="separate"/>
            </w:r>
            <w:r>
              <w:rPr>
                <w:color w:val="000000"/>
                <w:sz w:val="24"/>
                <w:szCs w:val="24"/>
              </w:rPr>
              <w:t>сьомої - дев’ятої</w:t>
            </w:r>
            <w:r>
              <w:rPr>
                <w:color w:val="000000"/>
                <w:sz w:val="24"/>
                <w:szCs w:val="24"/>
              </w:rPr>
              <w:fldChar w:fldCharType="end"/>
            </w:r>
            <w:r>
              <w:rPr>
                <w:color w:val="000000"/>
                <w:sz w:val="24"/>
                <w:szCs w:val="24"/>
              </w:rPr>
              <w:t> статті 41 Закону, та Особливостей.</w:t>
            </w:r>
          </w:p>
          <w:p>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20"/>
              <w:tabs>
                <w:tab w:val="left" w:pos="1799"/>
                <w:tab w:val="left" w:pos="3833"/>
                <w:tab w:val="left" w:pos="5238"/>
              </w:tabs>
              <w:spacing w:line="259" w:lineRule="exact"/>
              <w:ind w:left="35" w:right="26"/>
              <w:jc w:val="both"/>
              <w:rPr>
                <w:sz w:val="24"/>
                <w:szCs w:val="24"/>
              </w:rPr>
            </w:pPr>
            <w:r>
              <w:rPr>
                <w:color w:val="000000"/>
                <w:sz w:val="24"/>
                <w:szCs w:val="24"/>
                <w:lang w:val="ru-RU"/>
              </w:rPr>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4</w:t>
            </w:r>
          </w:p>
        </w:tc>
        <w:tc>
          <w:tcPr>
            <w:tcW w:w="1213" w:type="pct"/>
          </w:tcPr>
          <w:p>
            <w:pPr>
              <w:pStyle w:val="20"/>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pPr>
              <w:jc w:val="both"/>
              <w:rPr>
                <w:sz w:val="24"/>
                <w:szCs w:val="24"/>
              </w:rPr>
            </w:pPr>
            <w:r>
              <w:rPr>
                <w:sz w:val="24"/>
                <w:szCs w:val="24"/>
              </w:rPr>
              <w:t xml:space="preserve">Договір про закупівлю укладається відповідно до норм </w:t>
            </w:r>
            <w:r>
              <w:fldChar w:fldCharType="begin"/>
            </w:r>
            <w:r>
              <w:instrText xml:space="preserve"> HYPERLINK "http://zakon5.rada.gov.ua/laws/show/435-15" \h </w:instrText>
            </w:r>
            <w:r>
              <w:fldChar w:fldCharType="separate"/>
            </w:r>
            <w:r>
              <w:rPr>
                <w:sz w:val="24"/>
                <w:szCs w:val="24"/>
              </w:rPr>
              <w:t>Цивільного кодексу України</w:t>
            </w:r>
            <w:r>
              <w:rPr>
                <w:sz w:val="24"/>
                <w:szCs w:val="24"/>
              </w:rPr>
              <w:fldChar w:fldCharType="end"/>
            </w:r>
            <w:r>
              <w:rPr>
                <w:sz w:val="24"/>
                <w:szCs w:val="24"/>
              </w:rPr>
              <w:t xml:space="preserve"> та </w:t>
            </w:r>
            <w:r>
              <w:fldChar w:fldCharType="begin"/>
            </w:r>
            <w:r>
              <w:instrText xml:space="preserve"> HYPERLINK "http://zakon5.rada.gov.ua/laws/show/436-15" \h </w:instrText>
            </w:r>
            <w:r>
              <w:fldChar w:fldCharType="separate"/>
            </w:r>
            <w:r>
              <w:rPr>
                <w:sz w:val="24"/>
                <w:szCs w:val="24"/>
              </w:rPr>
              <w:t>Господарського кодексу України</w:t>
            </w:r>
            <w:r>
              <w:rPr>
                <w:sz w:val="24"/>
                <w:szCs w:val="24"/>
              </w:rPr>
              <w:fldChar w:fldCharType="end"/>
            </w:r>
            <w:r>
              <w:rPr>
                <w:sz w:val="24"/>
                <w:szCs w:val="24"/>
              </w:rPr>
              <w:t xml:space="preserve"> з урахуванням правил та вимог, визначених Законом та Особливостями.</w:t>
            </w:r>
          </w:p>
          <w:p>
            <w:pPr>
              <w:jc w:val="both"/>
              <w:rPr>
                <w:sz w:val="24"/>
                <w:szCs w:val="24"/>
              </w:rPr>
            </w:pPr>
            <w:bookmarkStart w:id="11" w:name="tyjcwt" w:colFirst="0" w:colLast="0"/>
            <w:bookmarkEnd w:id="11"/>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19"/>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pPr>
              <w:pStyle w:val="19"/>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pPr>
              <w:pStyle w:val="19"/>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rPr>
                <w:sz w:val="24"/>
                <w:szCs w:val="24"/>
              </w:rPr>
            </w:pPr>
            <w:r>
              <w:rPr>
                <w:sz w:val="24"/>
                <w:szCs w:val="24"/>
              </w:rPr>
              <w:t>1) зменшення обсягів закупівлі, зокрема з урахуванням фактичного обсягу видатків замовника;</w:t>
            </w:r>
          </w:p>
          <w:p>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pPr>
              <w:jc w:val="both"/>
              <w:rPr>
                <w:sz w:val="24"/>
                <w:szCs w:val="24"/>
              </w:rPr>
            </w:pPr>
            <w:r>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pPr>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jc w:val="both"/>
              <w:rPr>
                <w:sz w:val="24"/>
                <w:szCs w:val="24"/>
              </w:rPr>
            </w:pPr>
            <w:r>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sz w:val="24"/>
                <w:szCs w:val="24"/>
              </w:rPr>
            </w:pPr>
            <w:r>
              <w:rPr>
                <w:sz w:val="24"/>
                <w:szCs w:val="24"/>
              </w:rPr>
              <w:t>7) зміни умов у зв’язку із застосуванням положень частини шостої статті 41 Закону.</w:t>
            </w:r>
          </w:p>
          <w:p>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jc w:val="both"/>
              <w:rPr>
                <w:sz w:val="24"/>
                <w:szCs w:val="24"/>
              </w:rPr>
            </w:pPr>
            <w:r>
              <w:rPr>
                <w:sz w:val="24"/>
                <w:szCs w:val="24"/>
              </w:rPr>
              <w:t>Договір про закупівлю є нікчемним у разі:</w:t>
            </w:r>
          </w:p>
          <w:p>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pPr>
              <w:jc w:val="both"/>
              <w:rPr>
                <w:sz w:val="24"/>
                <w:szCs w:val="24"/>
              </w:rPr>
            </w:pPr>
            <w:r>
              <w:rPr>
                <w:sz w:val="24"/>
                <w:szCs w:val="24"/>
              </w:rPr>
              <w:t>2) укладення договору про закупівлю з порушенням вимог пункту 18 Особливостей;</w:t>
            </w:r>
          </w:p>
          <w:p>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20"/>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5</w:t>
            </w:r>
          </w:p>
        </w:tc>
        <w:tc>
          <w:tcPr>
            <w:tcW w:w="1213" w:type="pct"/>
          </w:tcPr>
          <w:p>
            <w:pPr>
              <w:pStyle w:val="20"/>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pPr>
              <w:pStyle w:val="20"/>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20"/>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tcPr>
          <w:p>
            <w:pPr>
              <w:pStyle w:val="11"/>
              <w:spacing w:line="242" w:lineRule="auto"/>
              <w:ind w:left="0"/>
              <w:rPr>
                <w:b/>
              </w:rPr>
            </w:pPr>
            <w:r>
              <w:rPr>
                <w:b/>
              </w:rPr>
              <w:t>6</w:t>
            </w:r>
          </w:p>
        </w:tc>
        <w:tc>
          <w:tcPr>
            <w:tcW w:w="1213" w:type="pct"/>
          </w:tcPr>
          <w:p>
            <w:pPr>
              <w:pStyle w:val="11"/>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pPr>
              <w:pStyle w:val="20"/>
              <w:tabs>
                <w:tab w:val="left" w:pos="1799"/>
                <w:tab w:val="left" w:pos="3833"/>
                <w:tab w:val="left" w:pos="5238"/>
              </w:tabs>
              <w:spacing w:line="259" w:lineRule="exact"/>
              <w:ind w:left="42"/>
              <w:jc w:val="both"/>
              <w:rPr>
                <w:sz w:val="24"/>
                <w:szCs w:val="24"/>
              </w:rPr>
            </w:pPr>
            <w:r>
              <w:rPr>
                <w:sz w:val="24"/>
                <w:szCs w:val="24"/>
              </w:rPr>
              <w:t>не вимагається</w:t>
            </w:r>
          </w:p>
        </w:tc>
      </w:tr>
    </w:tbl>
    <w:p>
      <w:pPr>
        <w:pStyle w:val="11"/>
        <w:spacing w:line="242" w:lineRule="auto"/>
        <w:ind w:left="1063"/>
      </w:pPr>
    </w:p>
    <w:p>
      <w:pPr>
        <w:spacing w:before="90"/>
        <w:ind w:left="213"/>
        <w:rPr>
          <w:b/>
          <w:i/>
          <w:sz w:val="24"/>
          <w:szCs w:val="24"/>
        </w:rPr>
      </w:pPr>
    </w:p>
    <w:p>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pPr>
        <w:pStyle w:val="11"/>
        <w:spacing w:before="7"/>
        <w:ind w:left="0" w:firstLine="709"/>
        <w:rPr>
          <w:b/>
          <w:i/>
        </w:rPr>
      </w:pPr>
    </w:p>
    <w:p>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pPr>
        <w:pStyle w:val="11"/>
        <w:spacing w:before="2"/>
        <w:ind w:left="0" w:firstLine="709"/>
        <w:rPr>
          <w:i/>
        </w:rPr>
      </w:pPr>
    </w:p>
    <w:p>
      <w:pPr>
        <w:pStyle w:val="2"/>
        <w:spacing w:before="1"/>
        <w:ind w:left="0" w:firstLine="709"/>
        <w:jc w:val="center"/>
      </w:pPr>
      <w:r>
        <w:t>ФОРМА</w:t>
      </w:r>
      <w:r>
        <w:rPr>
          <w:spacing w:val="-9"/>
        </w:rPr>
        <w:t xml:space="preserve"> </w:t>
      </w:r>
      <w:r>
        <w:t>«ТЕНДЕРНА</w:t>
      </w:r>
      <w:r>
        <w:rPr>
          <w:spacing w:val="-4"/>
        </w:rPr>
        <w:t xml:space="preserve"> </w:t>
      </w:r>
      <w:r>
        <w:t>ПРОПОЗИЦІЯ»</w:t>
      </w:r>
    </w:p>
    <w:p>
      <w:pPr>
        <w:pStyle w:val="11"/>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50310000-1 Технічне обслуговування і ремонт офісної техніки (Послуги з ремонту та технічного обслуговування реєстраторів розрахункових операцій).</w:t>
      </w:r>
    </w:p>
    <w:p>
      <w:pPr>
        <w:pStyle w:val="11"/>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pPr>
        <w:pStyle w:val="19"/>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pPr>
        <w:pStyle w:val="19"/>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pPr>
        <w:pStyle w:val="19"/>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11"/>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pPr>
        <w:ind w:firstLine="709"/>
        <w:rPr>
          <w:sz w:val="24"/>
          <w:szCs w:val="24"/>
        </w:rPr>
      </w:pPr>
    </w:p>
    <w:p>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pPr>
        <w:pStyle w:val="11"/>
        <w:ind w:left="0" w:firstLine="709"/>
        <w:rPr>
          <w:b/>
          <w:i/>
        </w:rPr>
      </w:pPr>
    </w:p>
    <w:p>
      <w:pPr>
        <w:pStyle w:val="2"/>
        <w:ind w:left="0" w:firstLine="709"/>
        <w:jc w:val="center"/>
      </w:pPr>
      <w:bookmarkStart w:id="13" w:name="ФОРМА_«Підтвердження"/>
      <w:bookmarkEnd w:id="13"/>
      <w:r>
        <w:t>ФОРМА</w:t>
      </w:r>
      <w:r>
        <w:rPr>
          <w:spacing w:val="-12"/>
        </w:rPr>
        <w:t xml:space="preserve"> </w:t>
      </w:r>
      <w:r>
        <w:t>«Підтвердження</w:t>
      </w:r>
    </w:p>
    <w:p>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pPr>
        <w:pStyle w:val="11"/>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pPr>
        <w:pStyle w:val="11"/>
        <w:ind w:left="0" w:firstLine="709"/>
      </w:pPr>
    </w:p>
    <w:p>
      <w:pPr>
        <w:pStyle w:val="11"/>
        <w:tabs>
          <w:tab w:val="left" w:pos="4177"/>
          <w:tab w:val="left" w:pos="7179"/>
        </w:tabs>
        <w:ind w:left="0" w:firstLine="709"/>
        <w:jc w:val="center"/>
      </w:pPr>
      <w:r>
        <w:t>Ми,</w:t>
      </w:r>
      <w:r>
        <w:rPr>
          <w:u w:val="single"/>
        </w:rPr>
        <w:tab/>
      </w:r>
      <w:r>
        <w:t>«</w:t>
      </w:r>
      <w:r>
        <w:rPr>
          <w:u w:val="single"/>
        </w:rPr>
        <w:tab/>
      </w:r>
      <w:r>
        <w:t>»,</w:t>
      </w:r>
    </w:p>
    <w:p>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r>
      <w:r>
        <w:rPr>
          <w:sz w:val="24"/>
          <w:szCs w:val="24"/>
        </w:rPr>
        <w:t>(повне</w:t>
      </w:r>
      <w:r>
        <w:rPr>
          <w:spacing w:val="-8"/>
          <w:sz w:val="24"/>
          <w:szCs w:val="24"/>
        </w:rPr>
        <w:t xml:space="preserve"> </w:t>
      </w:r>
      <w:r>
        <w:rPr>
          <w:sz w:val="24"/>
          <w:szCs w:val="24"/>
        </w:rPr>
        <w:t>найменування)</w:t>
      </w:r>
    </w:p>
    <w:p>
      <w:pPr>
        <w:pStyle w:val="11"/>
        <w:spacing w:before="3"/>
        <w:ind w:left="0" w:firstLine="709"/>
      </w:pPr>
    </w:p>
    <w:p>
      <w:pPr>
        <w:pStyle w:val="11"/>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 50310000-1 Технічне обслуговування і ремонт офісної техніки (Послуги з ремонту та технічного обслуговування реєстраторів розрахункових операцій)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pPr>
        <w:pStyle w:val="11"/>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pPr>
        <w:pStyle w:val="11"/>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pPr>
        <w:pStyle w:val="11"/>
        <w:spacing w:before="5"/>
        <w:ind w:left="0" w:firstLine="709"/>
        <w:rPr>
          <w:i/>
        </w:rPr>
      </w:pPr>
    </w:p>
    <w:p>
      <w:pPr>
        <w:ind w:firstLine="709"/>
        <w:rPr>
          <w:b/>
          <w:i/>
          <w:sz w:val="24"/>
          <w:szCs w:val="24"/>
        </w:rPr>
      </w:pPr>
      <w:r>
        <w:rPr>
          <w:b/>
          <w:i/>
          <w:sz w:val="24"/>
          <w:szCs w:val="24"/>
        </w:rPr>
        <w:t>ДОДАТОК</w:t>
      </w:r>
      <w:r>
        <w:rPr>
          <w:b/>
          <w:i/>
          <w:spacing w:val="-1"/>
          <w:sz w:val="24"/>
          <w:szCs w:val="24"/>
        </w:rPr>
        <w:t xml:space="preserve"> </w:t>
      </w:r>
      <w:r>
        <w:rPr>
          <w:b/>
          <w:i/>
          <w:sz w:val="24"/>
          <w:szCs w:val="24"/>
        </w:rPr>
        <w:t>3</w:t>
      </w:r>
    </w:p>
    <w:p>
      <w:pPr>
        <w:pStyle w:val="11"/>
        <w:ind w:left="0" w:firstLine="709"/>
        <w:rPr>
          <w:b/>
          <w:i/>
        </w:rPr>
      </w:pPr>
    </w:p>
    <w:p>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pPr>
        <w:pStyle w:val="19"/>
        <w:numPr>
          <w:ilvl w:val="0"/>
          <w:numId w:val="12"/>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pPr>
        <w:pStyle w:val="19"/>
        <w:numPr>
          <w:ilvl w:val="0"/>
          <w:numId w:val="13"/>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pPr>
        <w:pStyle w:val="19"/>
        <w:numPr>
          <w:ilvl w:val="0"/>
          <w:numId w:val="13"/>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pPr>
        <w:pStyle w:val="19"/>
        <w:numPr>
          <w:ilvl w:val="0"/>
          <w:numId w:val="13"/>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pPr>
        <w:pStyle w:val="19"/>
        <w:numPr>
          <w:ilvl w:val="0"/>
          <w:numId w:val="12"/>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pPr>
        <w:pStyle w:val="11"/>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pPr>
        <w:pStyle w:val="11"/>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pPr>
        <w:pStyle w:val="11"/>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pPr>
        <w:pStyle w:val="11"/>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pPr>
        <w:pStyle w:val="19"/>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pPr>
        <w:pStyle w:val="19"/>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pPr>
        <w:pStyle w:val="11"/>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pPr>
        <w:pStyle w:val="11"/>
        <w:ind w:left="0" w:firstLine="709"/>
        <w:jc w:val="both"/>
        <w:rPr>
          <w:spacing w:val="-1"/>
        </w:rPr>
      </w:pPr>
      <w:r>
        <w:rPr>
          <w:spacing w:val="-1"/>
        </w:rPr>
        <w:t xml:space="preserve">5.1. Довідка, що мітить інформацію  про наявність обладнання, матеріально-технічної бази та технологій у довільній формі або за формою, що додається. </w:t>
      </w:r>
    </w:p>
    <w:tbl>
      <w:tblPr>
        <w:tblStyle w:val="4"/>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142"/>
        <w:gridCol w:w="2397"/>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11"/>
              <w:jc w:val="both"/>
              <w:rPr>
                <w:b/>
                <w:bCs/>
                <w:sz w:val="22"/>
                <w:szCs w:val="22"/>
              </w:rPr>
            </w:pPr>
            <w:r>
              <w:rPr>
                <w:b/>
                <w:bCs/>
                <w:sz w:val="22"/>
                <w:szCs w:val="22"/>
              </w:rPr>
              <w:t>№</w:t>
            </w:r>
          </w:p>
          <w:p>
            <w:pPr>
              <w:pStyle w:val="11"/>
              <w:jc w:val="both"/>
              <w:rPr>
                <w:b/>
                <w:bCs/>
                <w:sz w:val="22"/>
                <w:szCs w:val="22"/>
              </w:rPr>
            </w:pPr>
            <w:r>
              <w:rPr>
                <w:b/>
                <w:bCs/>
                <w:sz w:val="22"/>
                <w:szCs w:val="22"/>
              </w:rPr>
              <w:t>з/п</w:t>
            </w:r>
          </w:p>
        </w:tc>
        <w:tc>
          <w:tcPr>
            <w:tcW w:w="4142" w:type="dxa"/>
            <w:tcBorders>
              <w:top w:val="single" w:color="auto" w:sz="4" w:space="0"/>
              <w:left w:val="single" w:color="auto" w:sz="4" w:space="0"/>
              <w:bottom w:val="single" w:color="auto" w:sz="4" w:space="0"/>
              <w:right w:val="single" w:color="auto" w:sz="4" w:space="0"/>
            </w:tcBorders>
            <w:vAlign w:val="center"/>
          </w:tcPr>
          <w:p>
            <w:pPr>
              <w:pStyle w:val="11"/>
              <w:jc w:val="both"/>
              <w:rPr>
                <w:b/>
                <w:bCs/>
                <w:sz w:val="22"/>
                <w:szCs w:val="22"/>
              </w:rPr>
            </w:pPr>
            <w:r>
              <w:rPr>
                <w:b/>
                <w:bCs/>
                <w:sz w:val="22"/>
                <w:szCs w:val="22"/>
              </w:rPr>
              <w:t xml:space="preserve">Назва обладнання/матеріально-технічної бази/ технології </w:t>
            </w:r>
          </w:p>
        </w:tc>
        <w:tc>
          <w:tcPr>
            <w:tcW w:w="2397" w:type="dxa"/>
            <w:tcBorders>
              <w:top w:val="single" w:color="auto" w:sz="4" w:space="0"/>
              <w:left w:val="single" w:color="auto" w:sz="4" w:space="0"/>
              <w:bottom w:val="single" w:color="auto" w:sz="4" w:space="0"/>
              <w:right w:val="single" w:color="auto" w:sz="4" w:space="0"/>
            </w:tcBorders>
            <w:vAlign w:val="center"/>
          </w:tcPr>
          <w:p>
            <w:pPr>
              <w:pStyle w:val="11"/>
              <w:jc w:val="both"/>
              <w:rPr>
                <w:b/>
                <w:bCs/>
                <w:sz w:val="22"/>
                <w:szCs w:val="22"/>
              </w:rPr>
            </w:pPr>
            <w:r>
              <w:rPr>
                <w:b/>
                <w:bCs/>
                <w:sz w:val="22"/>
                <w:szCs w:val="22"/>
              </w:rPr>
              <w:t>Стан (</w:t>
            </w:r>
            <w:r>
              <w:rPr>
                <w:b/>
                <w:bCs/>
                <w:iCs/>
                <w:sz w:val="22"/>
                <w:szCs w:val="22"/>
              </w:rPr>
              <w:t>в робочому стані, потребує ремонту, інш</w:t>
            </w:r>
            <w:r>
              <w:rPr>
                <w:b/>
                <w:bCs/>
                <w:sz w:val="22"/>
                <w:szCs w:val="22"/>
              </w:rPr>
              <w:t xml:space="preserve">.), кількість наявних одиниць </w:t>
            </w:r>
          </w:p>
          <w:p>
            <w:pPr>
              <w:pStyle w:val="11"/>
              <w:jc w:val="both"/>
              <w:rPr>
                <w:b/>
                <w:bCs/>
                <w:sz w:val="22"/>
                <w:szCs w:val="22"/>
              </w:rPr>
            </w:pPr>
            <w:r>
              <w:rPr>
                <w:b/>
                <w:bCs/>
                <w:sz w:val="22"/>
                <w:szCs w:val="22"/>
              </w:rPr>
              <w:t xml:space="preserve"> (шт.)</w:t>
            </w:r>
          </w:p>
        </w:tc>
        <w:tc>
          <w:tcPr>
            <w:tcW w:w="2667" w:type="dxa"/>
            <w:tcBorders>
              <w:top w:val="single" w:color="auto" w:sz="4" w:space="0"/>
              <w:left w:val="single" w:color="auto" w:sz="4" w:space="0"/>
              <w:bottom w:val="single" w:color="auto" w:sz="4" w:space="0"/>
              <w:right w:val="single" w:color="auto" w:sz="4" w:space="0"/>
            </w:tcBorders>
          </w:tcPr>
          <w:p>
            <w:pPr>
              <w:pStyle w:val="11"/>
              <w:jc w:val="both"/>
              <w:rPr>
                <w:b/>
                <w:bCs/>
                <w:sz w:val="22"/>
                <w:szCs w:val="22"/>
              </w:rPr>
            </w:pPr>
            <w:r>
              <w:rPr>
                <w:b/>
                <w:bCs/>
                <w:sz w:val="22"/>
                <w:szCs w:val="22"/>
              </w:rPr>
              <w:t xml:space="preserve">Власне чи орендоване, а також вказівка на документ, що підтверджує відповідне право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11"/>
              <w:jc w:val="both"/>
              <w:rPr>
                <w:b/>
                <w:bCs/>
                <w:sz w:val="22"/>
                <w:szCs w:val="22"/>
              </w:rPr>
            </w:pPr>
          </w:p>
        </w:tc>
        <w:tc>
          <w:tcPr>
            <w:tcW w:w="4142" w:type="dxa"/>
            <w:tcBorders>
              <w:top w:val="single" w:color="auto" w:sz="4" w:space="0"/>
              <w:left w:val="single" w:color="auto" w:sz="4" w:space="0"/>
              <w:bottom w:val="single" w:color="auto" w:sz="4" w:space="0"/>
              <w:right w:val="single" w:color="auto" w:sz="4" w:space="0"/>
            </w:tcBorders>
            <w:vAlign w:val="center"/>
          </w:tcPr>
          <w:p>
            <w:pPr>
              <w:pStyle w:val="11"/>
              <w:jc w:val="both"/>
              <w:rPr>
                <w:b/>
                <w:bCs/>
                <w:sz w:val="22"/>
                <w:szCs w:val="22"/>
              </w:rPr>
            </w:pPr>
          </w:p>
        </w:tc>
        <w:tc>
          <w:tcPr>
            <w:tcW w:w="2397" w:type="dxa"/>
            <w:tcBorders>
              <w:top w:val="single" w:color="auto" w:sz="4" w:space="0"/>
              <w:left w:val="single" w:color="auto" w:sz="4" w:space="0"/>
              <w:bottom w:val="single" w:color="auto" w:sz="4" w:space="0"/>
              <w:right w:val="single" w:color="auto" w:sz="4" w:space="0"/>
            </w:tcBorders>
            <w:vAlign w:val="center"/>
          </w:tcPr>
          <w:p>
            <w:pPr>
              <w:pStyle w:val="11"/>
              <w:jc w:val="both"/>
              <w:rPr>
                <w:b/>
                <w:bCs/>
                <w:sz w:val="22"/>
                <w:szCs w:val="22"/>
              </w:rPr>
            </w:pPr>
          </w:p>
        </w:tc>
        <w:tc>
          <w:tcPr>
            <w:tcW w:w="2667" w:type="dxa"/>
            <w:tcBorders>
              <w:top w:val="single" w:color="auto" w:sz="4" w:space="0"/>
              <w:left w:val="single" w:color="auto" w:sz="4" w:space="0"/>
              <w:bottom w:val="single" w:color="auto" w:sz="4" w:space="0"/>
              <w:right w:val="single" w:color="auto" w:sz="4" w:space="0"/>
            </w:tcBorders>
          </w:tcPr>
          <w:p>
            <w:pPr>
              <w:pStyle w:val="11"/>
              <w:jc w:val="both"/>
              <w:rPr>
                <w:b/>
                <w:bCs/>
                <w:sz w:val="22"/>
                <w:szCs w:val="22"/>
              </w:rPr>
            </w:pPr>
          </w:p>
        </w:tc>
      </w:tr>
    </w:tbl>
    <w:p>
      <w:pPr>
        <w:pStyle w:val="11"/>
        <w:ind w:left="0" w:firstLine="709"/>
        <w:jc w:val="both"/>
        <w:rPr>
          <w:spacing w:val="-1"/>
        </w:rPr>
      </w:pPr>
    </w:p>
    <w:p>
      <w:pPr>
        <w:pStyle w:val="11"/>
        <w:ind w:left="0" w:firstLine="709"/>
        <w:jc w:val="both"/>
        <w:rPr>
          <w:spacing w:val="-1"/>
        </w:rPr>
      </w:pPr>
      <w:r>
        <w:rPr>
          <w:spacing w:val="-1"/>
        </w:rPr>
        <w:t>6. Документи, які повинен подати Учасник для підтвердження того, що він має досвід виконання аналогічного договору:</w:t>
      </w:r>
    </w:p>
    <w:p>
      <w:pPr>
        <w:pStyle w:val="11"/>
        <w:ind w:left="0" w:firstLine="709"/>
        <w:jc w:val="both"/>
        <w:rPr>
          <w:spacing w:val="-1"/>
        </w:rPr>
      </w:pPr>
      <w:r>
        <w:rPr>
          <w:spacing w:val="-1"/>
        </w:rPr>
        <w:t>6.1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2491"/>
        <w:gridCol w:w="1994"/>
        <w:gridCol w:w="2340"/>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17" w:type="pct"/>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b/>
                <w:bCs/>
                <w:color w:val="000000"/>
              </w:rPr>
              <w:t>№</w:t>
            </w:r>
          </w:p>
          <w:p>
            <w:pPr>
              <w:jc w:val="center"/>
              <w:rPr>
                <w:b/>
                <w:bCs/>
                <w:color w:val="000000"/>
              </w:rPr>
            </w:pPr>
            <w:r>
              <w:rPr>
                <w:b/>
                <w:bCs/>
                <w:color w:val="000000"/>
              </w:rPr>
              <w:t>п/п</w:t>
            </w:r>
          </w:p>
        </w:tc>
        <w:tc>
          <w:tcPr>
            <w:tcW w:w="1301" w:type="pct"/>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b/>
                <w:bCs/>
                <w:color w:val="000000"/>
              </w:rPr>
              <w:t>Назва підприємства, телефон, ПІП особи, яка підписала договір</w:t>
            </w:r>
          </w:p>
        </w:tc>
        <w:tc>
          <w:tcPr>
            <w:tcW w:w="1041" w:type="pct"/>
            <w:tcBorders>
              <w:top w:val="single" w:color="auto" w:sz="4" w:space="0"/>
              <w:left w:val="single" w:color="auto" w:sz="4" w:space="0"/>
              <w:bottom w:val="single" w:color="auto" w:sz="4" w:space="0"/>
              <w:right w:val="single" w:color="auto" w:sz="4" w:space="0"/>
            </w:tcBorders>
          </w:tcPr>
          <w:p>
            <w:pPr>
              <w:jc w:val="center"/>
              <w:rPr>
                <w:b/>
                <w:bCs/>
                <w:color w:val="000000"/>
              </w:rPr>
            </w:pPr>
            <w:r>
              <w:rPr>
                <w:b/>
                <w:bCs/>
                <w:color w:val="000000"/>
              </w:rPr>
              <w:t>Предмет договору</w:t>
            </w:r>
          </w:p>
        </w:tc>
        <w:tc>
          <w:tcPr>
            <w:tcW w:w="1222" w:type="pct"/>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b/>
                <w:bCs/>
                <w:color w:val="000000"/>
              </w:rPr>
              <w:t>Номер, дата та сума договору</w:t>
            </w:r>
          </w:p>
        </w:tc>
        <w:tc>
          <w:tcPr>
            <w:tcW w:w="1119" w:type="pct"/>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b/>
                <w:bCs/>
                <w:color w:val="000000"/>
              </w:rPr>
              <w:t>Термін виконання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 w:type="pct"/>
            <w:tcBorders>
              <w:top w:val="single" w:color="auto" w:sz="4" w:space="0"/>
              <w:left w:val="single" w:color="auto" w:sz="4" w:space="0"/>
              <w:bottom w:val="single" w:color="auto" w:sz="4" w:space="0"/>
              <w:right w:val="single" w:color="auto" w:sz="4" w:space="0"/>
            </w:tcBorders>
          </w:tcPr>
          <w:p>
            <w:pPr>
              <w:jc w:val="both"/>
              <w:rPr>
                <w:bCs/>
                <w:color w:val="000000"/>
              </w:rPr>
            </w:pPr>
          </w:p>
        </w:tc>
        <w:tc>
          <w:tcPr>
            <w:tcW w:w="1301" w:type="pct"/>
            <w:tcBorders>
              <w:top w:val="single" w:color="auto" w:sz="4" w:space="0"/>
              <w:left w:val="single" w:color="auto" w:sz="4" w:space="0"/>
              <w:bottom w:val="single" w:color="auto" w:sz="4" w:space="0"/>
              <w:right w:val="single" w:color="auto" w:sz="4" w:space="0"/>
            </w:tcBorders>
          </w:tcPr>
          <w:p>
            <w:pPr>
              <w:jc w:val="both"/>
              <w:rPr>
                <w:bCs/>
                <w:color w:val="000000"/>
              </w:rPr>
            </w:pPr>
          </w:p>
        </w:tc>
        <w:tc>
          <w:tcPr>
            <w:tcW w:w="1041" w:type="pct"/>
            <w:tcBorders>
              <w:top w:val="single" w:color="auto" w:sz="4" w:space="0"/>
              <w:left w:val="single" w:color="auto" w:sz="4" w:space="0"/>
              <w:bottom w:val="single" w:color="auto" w:sz="4" w:space="0"/>
              <w:right w:val="single" w:color="auto" w:sz="4" w:space="0"/>
            </w:tcBorders>
          </w:tcPr>
          <w:p>
            <w:pPr>
              <w:jc w:val="both"/>
              <w:rPr>
                <w:bCs/>
                <w:color w:val="000000"/>
              </w:rPr>
            </w:pPr>
          </w:p>
        </w:tc>
        <w:tc>
          <w:tcPr>
            <w:tcW w:w="1222" w:type="pct"/>
            <w:tcBorders>
              <w:top w:val="single" w:color="auto" w:sz="4" w:space="0"/>
              <w:left w:val="single" w:color="auto" w:sz="4" w:space="0"/>
              <w:bottom w:val="single" w:color="auto" w:sz="4" w:space="0"/>
              <w:right w:val="single" w:color="auto" w:sz="4" w:space="0"/>
            </w:tcBorders>
          </w:tcPr>
          <w:p>
            <w:pPr>
              <w:jc w:val="both"/>
              <w:rPr>
                <w:bCs/>
                <w:color w:val="000000"/>
              </w:rPr>
            </w:pPr>
          </w:p>
        </w:tc>
        <w:tc>
          <w:tcPr>
            <w:tcW w:w="1119" w:type="pct"/>
            <w:tcBorders>
              <w:top w:val="single" w:color="auto" w:sz="4" w:space="0"/>
              <w:left w:val="single" w:color="auto" w:sz="4" w:space="0"/>
              <w:bottom w:val="single" w:color="auto" w:sz="4" w:space="0"/>
              <w:right w:val="single" w:color="auto" w:sz="4" w:space="0"/>
            </w:tcBorders>
          </w:tcPr>
          <w:p>
            <w:pPr>
              <w:jc w:val="both"/>
              <w:rPr>
                <w:bCs/>
                <w:color w:val="000000"/>
              </w:rPr>
            </w:pPr>
          </w:p>
        </w:tc>
      </w:tr>
    </w:tbl>
    <w:p>
      <w:pPr>
        <w:pStyle w:val="11"/>
        <w:ind w:left="0" w:firstLine="709"/>
        <w:jc w:val="both"/>
        <w:rPr>
          <w:spacing w:val="-1"/>
        </w:rPr>
      </w:pPr>
      <w:r>
        <w:rPr>
          <w:spacing w:val="-1"/>
        </w:rPr>
        <w:t>6.2. Копія(ї) аналогічного(их) договору*(договорів) в повному обсязі та докази його(їх) виконання у повному обсязі (акти наданих послуг тощо).</w:t>
      </w:r>
    </w:p>
    <w:p>
      <w:pPr>
        <w:pStyle w:val="11"/>
        <w:ind w:left="0" w:firstLine="709"/>
        <w:jc w:val="both"/>
        <w:rPr>
          <w:spacing w:val="-1"/>
        </w:rPr>
      </w:pPr>
      <w:r>
        <w:rPr>
          <w:spacing w:val="-1"/>
        </w:rPr>
        <w:t>7. У разі залучення Учасником до виконання робіт субпідрядної організації Копія(ї) аналогічного(их) договору*(договорів) в повному обсязі та докази його(їх) виконання у повному обсязі (акти наданих послуг тощо), укладеного субпідрядною організацією.</w:t>
      </w:r>
    </w:p>
    <w:p>
      <w:pPr>
        <w:pStyle w:val="11"/>
        <w:ind w:left="0" w:firstLine="709"/>
        <w:jc w:val="both"/>
        <w:rPr>
          <w:spacing w:val="-1"/>
        </w:rPr>
      </w:pPr>
      <w:r>
        <w:rPr>
          <w:spacing w:val="-1"/>
        </w:rPr>
        <w:t>8.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pPr>
        <w:pStyle w:val="11"/>
        <w:ind w:left="0" w:firstLine="709"/>
        <w:jc w:val="both"/>
        <w:rPr>
          <w:spacing w:val="-1"/>
        </w:rPr>
      </w:pPr>
      <w:r>
        <w:rPr>
          <w:spacing w:val="-1"/>
        </w:rPr>
        <w:t>9.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законодавства із захисту довкілля, при наданні послуг, що є предметом закупівлі.</w:t>
      </w:r>
    </w:p>
    <w:p>
      <w:pPr>
        <w:pStyle w:val="11"/>
        <w:ind w:left="0" w:firstLine="709"/>
        <w:jc w:val="both"/>
        <w:rPr>
          <w:spacing w:val="-1"/>
        </w:rPr>
      </w:pPr>
      <w:r>
        <w:rPr>
          <w:spacing w:val="-1"/>
        </w:rPr>
        <w:t xml:space="preserve">10. Довідка, у довільній формі або відповідно до наведеної нижче форми, що містить інформацію про наявність у учасника працівників, відповідної кваліфікації, які мають необхідні знання та досвід для надання послуг, що є предметом закупівлі: </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b/>
                <w:bCs/>
                <w:lang w:eastAsia="ru-RU"/>
              </w:rPr>
            </w:pPr>
            <w:r>
              <w:rPr>
                <w:b/>
                <w:bCs/>
                <w:lang w:eastAsia="ru-RU"/>
              </w:rPr>
              <w:t>№</w:t>
            </w:r>
          </w:p>
        </w:tc>
        <w:tc>
          <w:tcPr>
            <w:tcW w:w="1000" w:type="pct"/>
            <w:vAlign w:val="center"/>
          </w:tcPr>
          <w:p>
            <w:pPr>
              <w:jc w:val="center"/>
              <w:rPr>
                <w:b/>
                <w:bCs/>
                <w:lang w:eastAsia="ru-RU"/>
              </w:rPr>
            </w:pPr>
            <w:r>
              <w:rPr>
                <w:b/>
                <w:bCs/>
                <w:lang w:eastAsia="ru-RU"/>
              </w:rPr>
              <w:t>Посада</w:t>
            </w:r>
          </w:p>
        </w:tc>
        <w:tc>
          <w:tcPr>
            <w:tcW w:w="1000" w:type="pct"/>
            <w:vAlign w:val="center"/>
          </w:tcPr>
          <w:p>
            <w:pPr>
              <w:jc w:val="center"/>
              <w:rPr>
                <w:b/>
                <w:bCs/>
                <w:lang w:eastAsia="ru-RU"/>
              </w:rPr>
            </w:pPr>
            <w:r>
              <w:rPr>
                <w:b/>
                <w:bCs/>
                <w:lang w:eastAsia="ru-RU"/>
              </w:rPr>
              <w:t>ПІБ</w:t>
            </w:r>
          </w:p>
        </w:tc>
        <w:tc>
          <w:tcPr>
            <w:tcW w:w="1000" w:type="pct"/>
            <w:vAlign w:val="center"/>
          </w:tcPr>
          <w:p>
            <w:pPr>
              <w:jc w:val="center"/>
              <w:rPr>
                <w:b/>
                <w:bCs/>
                <w:lang w:eastAsia="ru-RU"/>
              </w:rPr>
            </w:pPr>
            <w:r>
              <w:rPr>
                <w:b/>
                <w:bCs/>
                <w:lang w:eastAsia="ru-RU"/>
              </w:rPr>
              <w:t>Освіта і спеціальність</w:t>
            </w:r>
          </w:p>
        </w:tc>
        <w:tc>
          <w:tcPr>
            <w:tcW w:w="1000" w:type="pct"/>
            <w:vAlign w:val="center"/>
          </w:tcPr>
          <w:p>
            <w:pPr>
              <w:jc w:val="center"/>
              <w:rPr>
                <w:b/>
                <w:bCs/>
                <w:lang w:eastAsia="ru-RU"/>
              </w:rPr>
            </w:pPr>
            <w:r>
              <w:rPr>
                <w:b/>
                <w:bCs/>
                <w:lang w:eastAsia="ru-RU"/>
              </w:rPr>
              <w:t>Досвід роботи на даній посаді, років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jc w:val="center"/>
              <w:rPr>
                <w:bCs/>
                <w:lang w:eastAsia="ru-RU"/>
              </w:rPr>
            </w:pPr>
          </w:p>
        </w:tc>
        <w:tc>
          <w:tcPr>
            <w:tcW w:w="1000" w:type="pct"/>
            <w:vAlign w:val="center"/>
          </w:tcPr>
          <w:p>
            <w:pPr>
              <w:jc w:val="center"/>
              <w:rPr>
                <w:bCs/>
                <w:lang w:eastAsia="ru-RU"/>
              </w:rPr>
            </w:pPr>
          </w:p>
        </w:tc>
        <w:tc>
          <w:tcPr>
            <w:tcW w:w="1000" w:type="pct"/>
            <w:vAlign w:val="center"/>
          </w:tcPr>
          <w:p>
            <w:pPr>
              <w:jc w:val="center"/>
              <w:rPr>
                <w:bCs/>
                <w:lang w:eastAsia="ru-RU"/>
              </w:rPr>
            </w:pPr>
          </w:p>
        </w:tc>
        <w:tc>
          <w:tcPr>
            <w:tcW w:w="1000" w:type="pct"/>
            <w:vAlign w:val="center"/>
          </w:tcPr>
          <w:p>
            <w:pPr>
              <w:jc w:val="center"/>
              <w:rPr>
                <w:bCs/>
                <w:lang w:eastAsia="ru-RU"/>
              </w:rPr>
            </w:pPr>
          </w:p>
        </w:tc>
        <w:tc>
          <w:tcPr>
            <w:tcW w:w="1000" w:type="pct"/>
            <w:vAlign w:val="center"/>
          </w:tcPr>
          <w:p>
            <w:pPr>
              <w:jc w:val="center"/>
              <w:rPr>
                <w:bCs/>
                <w:lang w:eastAsia="ru-RU"/>
              </w:rPr>
            </w:pPr>
          </w:p>
        </w:tc>
      </w:tr>
    </w:tbl>
    <w:p>
      <w:pPr>
        <w:pStyle w:val="11"/>
        <w:ind w:left="0" w:firstLine="709"/>
        <w:rPr>
          <w:spacing w:val="-1"/>
        </w:rPr>
      </w:pPr>
      <w:r>
        <w:rPr>
          <w:spacing w:val="-1"/>
        </w:rPr>
        <w:tab/>
      </w:r>
      <w:r>
        <w:rPr>
          <w:spacing w:val="-1"/>
        </w:rPr>
        <w:tab/>
      </w:r>
    </w:p>
    <w:p>
      <w:pPr>
        <w:pStyle w:val="11"/>
        <w:ind w:left="0" w:firstLine="709"/>
        <w:jc w:val="both"/>
        <w:rPr>
          <w:spacing w:val="-1"/>
        </w:rPr>
      </w:pPr>
      <w:r>
        <w:rPr>
          <w:spacing w:val="-1"/>
        </w:rPr>
        <w:t xml:space="preserve">10.1. У якості документального підтвердження наявності трудових чи цивільно-правових відносин між Учасником та працівниками, вказаними у довідці п.10, Учасник надає копії трудових договорів або копії цивільно-правових договорів (угод) або копії наказів про прийняття на роботу тощо, що підтверджує факт правовідносин. </w:t>
      </w:r>
    </w:p>
    <w:p>
      <w:pPr>
        <w:pStyle w:val="11"/>
        <w:ind w:left="0" w:firstLine="709"/>
        <w:jc w:val="both"/>
        <w:rPr>
          <w:spacing w:val="-1"/>
        </w:rPr>
      </w:pPr>
      <w:r>
        <w:rPr>
          <w:spacing w:val="-1"/>
        </w:rPr>
        <w:t xml:space="preserve">11. </w:t>
      </w:r>
      <w:r>
        <w:rPr>
          <w:lang w:eastAsia="ru-RU"/>
        </w:rPr>
        <w:t>Підтвердження наявності прямого Договору з виробником на технічне обслуговування касових апаратів ЕККА МINI-T400ME КСЕф Дец.№:ЮСЗ.021.056(в.4101-4) по місту Києву.</w:t>
      </w:r>
    </w:p>
    <w:p>
      <w:pPr>
        <w:pStyle w:val="11"/>
        <w:ind w:left="0" w:firstLine="709"/>
        <w:jc w:val="both"/>
        <w:rPr>
          <w:spacing w:val="-1"/>
        </w:rPr>
      </w:pPr>
    </w:p>
    <w:p>
      <w:pPr>
        <w:pStyle w:val="11"/>
        <w:ind w:left="0" w:firstLine="709"/>
        <w:jc w:val="both"/>
        <w:rPr>
          <w:spacing w:val="-1"/>
        </w:rPr>
      </w:pPr>
      <w:r>
        <w:rPr>
          <w:spacing w:val="-1"/>
        </w:rPr>
        <w:t xml:space="preserve">*Аналогічним договором є договір, укладений Учасником із суб΄єктом господарювання за аналогічним предметом закупівлі -  надання послуг </w:t>
      </w:r>
      <w:r>
        <w:t>з технічного обслуговування реєстраторів розрахункових операцій</w:t>
      </w:r>
      <w:r>
        <w:rPr>
          <w:spacing w:val="-1"/>
        </w:rPr>
        <w:t xml:space="preserve"> та/або за кодом національного класифікатора ДК 021:2015 </w:t>
      </w:r>
      <w:r>
        <w:t xml:space="preserve">50310000-1 Технічне обслуговування і ремонт офісної техніки </w:t>
      </w:r>
    </w:p>
    <w:p>
      <w:pPr>
        <w:pStyle w:val="11"/>
        <w:ind w:left="0" w:firstLine="709"/>
        <w:jc w:val="both"/>
        <w:rPr>
          <w:spacing w:val="-1"/>
        </w:rPr>
      </w:pPr>
    </w:p>
    <w:p>
      <w:pPr>
        <w:pStyle w:val="11"/>
        <w:ind w:left="0" w:firstLine="709"/>
        <w:rPr>
          <w:b/>
          <w:i/>
        </w:rPr>
      </w:pPr>
    </w:p>
    <w:p>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pPr>
        <w:autoSpaceDE/>
        <w:autoSpaceDN/>
        <w:jc w:val="both"/>
        <w:rPr>
          <w:sz w:val="24"/>
          <w:szCs w:val="24"/>
          <w:lang w:eastAsia="ru-RU"/>
        </w:rPr>
      </w:pPr>
      <w:r>
        <w:rPr>
          <w:sz w:val="24"/>
          <w:szCs w:val="24"/>
          <w:lang w:eastAsia="ru-RU"/>
        </w:rPr>
        <w:t xml:space="preserve">-   </w:t>
      </w:r>
      <w:r>
        <w:rPr>
          <w:sz w:val="24"/>
          <w:szCs w:val="24"/>
          <w:lang w:eastAsia="ru-RU"/>
        </w:rPr>
        <w:tab/>
      </w:r>
      <w:r>
        <w:rPr>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autoSpaceDE/>
        <w:autoSpaceDN/>
        <w:jc w:val="both"/>
        <w:rPr>
          <w:sz w:val="24"/>
          <w:szCs w:val="24"/>
          <w:lang w:eastAsia="ru-RU"/>
        </w:rPr>
      </w:pPr>
      <w:r>
        <w:rPr>
          <w:sz w:val="24"/>
          <w:szCs w:val="24"/>
          <w:lang w:eastAsia="ru-RU"/>
        </w:rPr>
        <w:t xml:space="preserve">-   </w:t>
      </w:r>
      <w:r>
        <w:rPr>
          <w:sz w:val="24"/>
          <w:szCs w:val="24"/>
          <w:lang w:eastAsia="ru-RU"/>
        </w:rPr>
        <w:tab/>
      </w:r>
      <w:r>
        <w:rPr>
          <w:sz w:val="24"/>
          <w:szCs w:val="24"/>
          <w:lang w:eastAsia="ru-RU"/>
        </w:rPr>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pPr>
        <w:autoSpaceDE/>
        <w:autoSpaceDN/>
        <w:jc w:val="both"/>
        <w:rPr>
          <w:i/>
          <w:sz w:val="24"/>
          <w:szCs w:val="24"/>
          <w:lang w:eastAsia="ru-RU"/>
        </w:rPr>
      </w:pPr>
      <w:r>
        <w:rPr>
          <w:sz w:val="24"/>
          <w:szCs w:val="24"/>
          <w:lang w:eastAsia="ru-RU"/>
        </w:rPr>
        <w:t xml:space="preserve">-   </w:t>
      </w:r>
      <w:r>
        <w:rPr>
          <w:sz w:val="24"/>
          <w:szCs w:val="24"/>
          <w:lang w:eastAsia="ru-RU"/>
        </w:rPr>
        <w:tab/>
      </w:r>
      <w:r>
        <w:rPr>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pPr>
        <w:autoSpaceDE/>
        <w:autoSpaceDN/>
        <w:jc w:val="both"/>
        <w:rPr>
          <w:sz w:val="24"/>
          <w:szCs w:val="24"/>
          <w:lang w:eastAsia="ru-RU"/>
        </w:rPr>
      </w:pPr>
      <w:r>
        <w:rPr>
          <w:sz w:val="24"/>
          <w:szCs w:val="24"/>
          <w:lang w:eastAsia="ru-RU"/>
        </w:rPr>
        <w:t xml:space="preserve">-  </w:t>
      </w:r>
      <w:r>
        <w:rPr>
          <w:sz w:val="24"/>
          <w:szCs w:val="24"/>
          <w:lang w:eastAsia="ru-RU"/>
        </w:rPr>
        <w:tab/>
      </w:r>
      <w:r>
        <w:rPr>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pPr>
        <w:widowControl/>
        <w:autoSpaceDE/>
        <w:autoSpaceDN/>
        <w:ind w:firstLine="709"/>
        <w:jc w:val="both"/>
        <w:rPr>
          <w:color w:val="000000"/>
          <w:sz w:val="24"/>
          <w:szCs w:val="24"/>
          <w:lang w:eastAsia="uk-UA"/>
        </w:rPr>
      </w:pPr>
    </w:p>
    <w:p>
      <w:pPr>
        <w:widowControl/>
        <w:autoSpaceDE/>
        <w:autoSpaceDN/>
        <w:ind w:firstLine="709"/>
        <w:jc w:val="both"/>
        <w:rPr>
          <w:color w:val="000000"/>
          <w:sz w:val="24"/>
          <w:szCs w:val="24"/>
          <w:lang w:eastAsia="uk-UA"/>
        </w:rPr>
      </w:pPr>
    </w:p>
    <w:p>
      <w:pPr>
        <w:widowControl/>
        <w:tabs>
          <w:tab w:val="left" w:pos="0"/>
        </w:tabs>
        <w:autoSpaceDE/>
        <w:autoSpaceDN/>
        <w:ind w:right="3" w:firstLine="709"/>
        <w:rPr>
          <w:b/>
          <w:i/>
          <w:sz w:val="24"/>
          <w:szCs w:val="24"/>
          <w:lang w:eastAsia="uk-UA"/>
        </w:rPr>
      </w:pPr>
      <w:r>
        <w:rPr>
          <w:b/>
          <w:i/>
          <w:sz w:val="24"/>
          <w:szCs w:val="24"/>
          <w:lang w:eastAsia="uk-UA"/>
        </w:rPr>
        <w:t>ДОДАТОК 4</w:t>
      </w:r>
    </w:p>
    <w:p>
      <w:pPr>
        <w:widowControl/>
        <w:tabs>
          <w:tab w:val="left" w:pos="0"/>
          <w:tab w:val="left" w:pos="284"/>
          <w:tab w:val="left" w:pos="567"/>
        </w:tabs>
        <w:autoSpaceDE/>
        <w:autoSpaceDN/>
        <w:ind w:right="3" w:firstLine="709"/>
        <w:jc w:val="both"/>
        <w:rPr>
          <w:sz w:val="24"/>
          <w:szCs w:val="24"/>
          <w:lang w:eastAsia="uk-UA"/>
        </w:rPr>
      </w:pPr>
    </w:p>
    <w:p>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5"/>
    <w:p>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pPr>
        <w:ind w:firstLine="709"/>
        <w:rPr>
          <w:b/>
          <w:i/>
          <w:sz w:val="24"/>
          <w:szCs w:val="24"/>
        </w:rPr>
      </w:pPr>
    </w:p>
    <w:p>
      <w:pPr>
        <w:pStyle w:val="11"/>
        <w:spacing w:before="8"/>
        <w:ind w:left="0"/>
        <w:rPr>
          <w:b/>
        </w:rPr>
      </w:pPr>
    </w:p>
    <w:p>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pPr>
        <w:pStyle w:val="11"/>
        <w:spacing w:before="3"/>
        <w:ind w:left="0"/>
        <w:rPr>
          <w:b/>
          <w:i/>
        </w:rPr>
      </w:pPr>
    </w:p>
    <w:p>
      <w:pPr>
        <w:pStyle w:val="2"/>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pPr>
        <w:rPr>
          <w:b/>
        </w:rPr>
      </w:pPr>
    </w:p>
    <w:p>
      <w:pPr>
        <w:jc w:val="both"/>
        <w:rPr>
          <w:sz w:val="24"/>
          <w:szCs w:val="24"/>
        </w:rPr>
      </w:pPr>
      <w:r>
        <w:t xml:space="preserve"> </w:t>
      </w:r>
      <w:r>
        <w:rPr>
          <w:sz w:val="24"/>
          <w:szCs w:val="24"/>
        </w:rPr>
        <w:t xml:space="preserve">    1.Повне найменування учасника </w:t>
      </w:r>
    </w:p>
    <w:p>
      <w:pPr>
        <w:jc w:val="both"/>
        <w:rPr>
          <w:sz w:val="24"/>
          <w:szCs w:val="24"/>
        </w:rPr>
      </w:pPr>
      <w:r>
        <w:rPr>
          <w:sz w:val="24"/>
          <w:szCs w:val="24"/>
        </w:rPr>
        <w:t>________________________________________________________________________________________________________________________________________________________</w:t>
      </w:r>
    </w:p>
    <w:p>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Pr>
        <w:t>4.Телефон, факс__________________________________________________________</w:t>
      </w:r>
    </w:p>
    <w:p>
      <w:pPr>
        <w:jc w:val="both"/>
        <w:rPr>
          <w:sz w:val="24"/>
          <w:szCs w:val="24"/>
        </w:rPr>
      </w:pPr>
    </w:p>
    <w:p>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Pr>
        <w:t>6. Код ЄДРПОУ__________________________________________________________</w:t>
      </w:r>
    </w:p>
    <w:p>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pPr>
        <w:jc w:val="both"/>
        <w:rPr>
          <w:sz w:val="24"/>
          <w:szCs w:val="24"/>
        </w:rPr>
      </w:pPr>
    </w:p>
    <w:p>
      <w:pPr>
        <w:jc w:val="both"/>
        <w:rPr>
          <w:sz w:val="24"/>
          <w:szCs w:val="24"/>
        </w:rPr>
      </w:pPr>
      <w:r>
        <w:rPr>
          <w:sz w:val="24"/>
          <w:szCs w:val="24"/>
        </w:rPr>
        <w:t>____________________________________________________________________________</w:t>
      </w:r>
    </w:p>
    <w:p>
      <w:pPr>
        <w:jc w:val="center"/>
        <w:rPr>
          <w:sz w:val="24"/>
          <w:szCs w:val="24"/>
        </w:rPr>
      </w:pPr>
      <w:r>
        <w:rPr>
          <w:sz w:val="24"/>
          <w:szCs w:val="24"/>
        </w:rPr>
        <w:t>(підпис уповноваженої особи Учасника, завірений печаткою (у разі наявності)</w:t>
      </w:r>
    </w:p>
    <w:p>
      <w:pPr>
        <w:pStyle w:val="11"/>
        <w:spacing w:before="1"/>
        <w:ind w:left="0"/>
        <w:rPr>
          <w:b/>
        </w:rPr>
      </w:pPr>
    </w:p>
    <w:p>
      <w:pPr>
        <w:pStyle w:val="11"/>
        <w:spacing w:before="5"/>
        <w:ind w:left="0"/>
        <w:rPr>
          <w:b/>
        </w:rPr>
      </w:pPr>
    </w:p>
    <w:p>
      <w:pPr>
        <w:spacing w:before="68"/>
        <w:ind w:left="213"/>
        <w:rPr>
          <w:b/>
          <w:i/>
          <w:sz w:val="24"/>
          <w:szCs w:val="24"/>
        </w:rPr>
      </w:pPr>
    </w:p>
    <w:p>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pPr>
        <w:pStyle w:val="11"/>
        <w:spacing w:before="2"/>
        <w:ind w:left="0"/>
        <w:rPr>
          <w:b/>
          <w:i/>
        </w:rPr>
      </w:pPr>
    </w:p>
    <w:p>
      <w:pPr>
        <w:pStyle w:val="2"/>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pPr>
        <w:pStyle w:val="11"/>
        <w:spacing w:before="4"/>
        <w:ind w:left="0" w:right="3" w:firstLine="709"/>
        <w:jc w:val="both"/>
        <w:rPr>
          <w:b/>
        </w:rPr>
      </w:pPr>
    </w:p>
    <w:p>
      <w:pPr>
        <w:jc w:val="both"/>
        <w:rPr>
          <w:sz w:val="24"/>
          <w:szCs w:val="24"/>
        </w:rPr>
      </w:pPr>
      <w:bookmarkStart w:id="16" w:name="Параметри_якості_електричної_енергії_в_т"/>
      <w:bookmarkEnd w:id="16"/>
      <w:r>
        <w:rPr>
          <w:b/>
          <w:sz w:val="24"/>
          <w:szCs w:val="24"/>
        </w:rPr>
        <w:t>1.</w:t>
      </w:r>
      <w:r>
        <w:rPr>
          <w:sz w:val="24"/>
          <w:szCs w:val="24"/>
        </w:rPr>
        <w:t xml:space="preserve"> Здійснювати щомісячно технічне обслуговування реєстраторів розрахункових операцій (далі – РРО), а саме:</w:t>
      </w:r>
    </w:p>
    <w:p>
      <w:pPr>
        <w:jc w:val="both"/>
        <w:rPr>
          <w:sz w:val="24"/>
          <w:szCs w:val="24"/>
        </w:rPr>
      </w:pPr>
      <w:r>
        <w:rPr>
          <w:sz w:val="24"/>
          <w:szCs w:val="24"/>
        </w:rPr>
        <w:t>- при введенні в експлуатацію РРО перевіряти технічний стан РРО, здійснювати початкове програмування РРО, надавати необхідну документацію для реєстрації РРО в Державну податкову службу;</w:t>
      </w:r>
    </w:p>
    <w:p>
      <w:pPr>
        <w:jc w:val="both"/>
        <w:rPr>
          <w:sz w:val="24"/>
          <w:szCs w:val="24"/>
        </w:rPr>
      </w:pPr>
      <w:r>
        <w:rPr>
          <w:sz w:val="24"/>
          <w:szCs w:val="24"/>
        </w:rPr>
        <w:t xml:space="preserve">- </w:t>
      </w:r>
      <w:r>
        <w:rPr>
          <w:bCs/>
          <w:sz w:val="24"/>
          <w:szCs w:val="24"/>
        </w:rPr>
        <w:t>по технічному обслуговуванню РРО -</w:t>
      </w:r>
      <w:r>
        <w:rPr>
          <w:sz w:val="24"/>
          <w:szCs w:val="24"/>
        </w:rPr>
        <w:t xml:space="preserve"> перевіряти функціонування РРО по контрольному тесту, перевіряти засоби контролю, проводити консультацію по роботі РРО.</w:t>
      </w:r>
    </w:p>
    <w:p>
      <w:pPr>
        <w:jc w:val="both"/>
        <w:rPr>
          <w:sz w:val="24"/>
          <w:szCs w:val="24"/>
        </w:rPr>
      </w:pPr>
      <w:r>
        <w:rPr>
          <w:b/>
          <w:sz w:val="24"/>
          <w:szCs w:val="24"/>
        </w:rPr>
        <w:t>2.</w:t>
      </w:r>
      <w:r>
        <w:rPr>
          <w:sz w:val="24"/>
          <w:szCs w:val="24"/>
        </w:rPr>
        <w:t xml:space="preserve"> </w:t>
      </w:r>
      <w:r>
        <w:rPr>
          <w:bCs/>
          <w:sz w:val="24"/>
          <w:szCs w:val="24"/>
        </w:rPr>
        <w:t>Здійснювати необхідний ремонт без заміни непрацюючих деталей РРО, термін перебування РРО в ремонті - не більше 72 годин, не враховуючи вихідні та свята.</w:t>
      </w:r>
    </w:p>
    <w:p>
      <w:pPr>
        <w:jc w:val="both"/>
        <w:rPr>
          <w:sz w:val="24"/>
          <w:szCs w:val="24"/>
        </w:rPr>
      </w:pPr>
      <w:r>
        <w:rPr>
          <w:b/>
          <w:sz w:val="24"/>
          <w:szCs w:val="24"/>
        </w:rPr>
        <w:t>3.</w:t>
      </w:r>
      <w:r>
        <w:rPr>
          <w:sz w:val="24"/>
          <w:szCs w:val="24"/>
        </w:rPr>
        <w:t xml:space="preserve"> Приймати заявки Замовника на виконання послуг з введення в експлуатацію, опломбування та ремонту РРО у зазначений термін.</w:t>
      </w:r>
    </w:p>
    <w:p>
      <w:pPr>
        <w:jc w:val="center"/>
        <w:rPr>
          <w:b/>
          <w:bCs/>
          <w:sz w:val="24"/>
          <w:szCs w:val="24"/>
        </w:rPr>
      </w:pPr>
    </w:p>
    <w:p>
      <w:pPr>
        <w:pStyle w:val="28"/>
        <w:ind w:firstLine="851"/>
        <w:jc w:val="center"/>
        <w:rPr>
          <w:rFonts w:ascii="Times New Roman" w:hAnsi="Times New Roman"/>
          <w:color w:val="000000"/>
          <w:sz w:val="24"/>
          <w:szCs w:val="24"/>
          <w:u w:val="single"/>
        </w:rPr>
      </w:pPr>
      <w:r>
        <w:rPr>
          <w:rFonts w:ascii="Times New Roman" w:hAnsi="Times New Roman"/>
          <w:sz w:val="24"/>
          <w:szCs w:val="24"/>
          <w:u w:val="single"/>
        </w:rPr>
        <w:t>Перелік адрес громадських вбиралень на яких встановлені РРО, за якими планується проводити ремонт та технічне обслуговування  на 2024 рік</w:t>
      </w:r>
    </w:p>
    <w:p>
      <w:pPr>
        <w:pStyle w:val="28"/>
        <w:jc w:val="both"/>
        <w:rPr>
          <w:rFonts w:ascii="Times New Roman" w:hAnsi="Times New Roman"/>
          <w:color w:val="000000"/>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7043"/>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13" w:type="pct"/>
            <w:shd w:val="pct10" w:color="auto" w:fill="auto"/>
            <w:vAlign w:val="center"/>
          </w:tcPr>
          <w:p>
            <w:pPr>
              <w:jc w:val="both"/>
              <w:rPr>
                <w:sz w:val="24"/>
                <w:szCs w:val="24"/>
              </w:rPr>
            </w:pPr>
            <w:r>
              <w:rPr>
                <w:sz w:val="24"/>
                <w:szCs w:val="24"/>
              </w:rPr>
              <w:t>№ п/п</w:t>
            </w:r>
          </w:p>
        </w:tc>
        <w:tc>
          <w:tcPr>
            <w:tcW w:w="3678" w:type="pct"/>
            <w:shd w:val="pct10" w:color="auto" w:fill="auto"/>
            <w:vAlign w:val="center"/>
          </w:tcPr>
          <w:p>
            <w:pPr>
              <w:jc w:val="center"/>
              <w:rPr>
                <w:sz w:val="24"/>
                <w:szCs w:val="24"/>
              </w:rPr>
            </w:pPr>
            <w:r>
              <w:rPr>
                <w:sz w:val="24"/>
                <w:szCs w:val="24"/>
              </w:rPr>
              <w:t>Адреса</w:t>
            </w:r>
          </w:p>
        </w:tc>
        <w:tc>
          <w:tcPr>
            <w:tcW w:w="1009" w:type="pct"/>
            <w:shd w:val="pct10" w:color="auto" w:fill="auto"/>
          </w:tcPr>
          <w:p>
            <w:pPr>
              <w:jc w:val="center"/>
              <w:rPr>
                <w:sz w:val="24"/>
                <w:szCs w:val="24"/>
              </w:rPr>
            </w:pPr>
            <w:r>
              <w:rPr>
                <w:sz w:val="24"/>
                <w:szCs w:val="24"/>
              </w:rPr>
              <w:t>Кількість місяців обслуговування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313" w:type="pct"/>
            <w:shd w:val="clear" w:color="auto" w:fill="auto"/>
          </w:tcPr>
          <w:p>
            <w:pPr>
              <w:jc w:val="center"/>
              <w:rPr>
                <w:sz w:val="24"/>
                <w:szCs w:val="24"/>
              </w:rPr>
            </w:pPr>
            <w:r>
              <w:rPr>
                <w:sz w:val="24"/>
                <w:szCs w:val="24"/>
              </w:rPr>
              <w:t>1.</w:t>
            </w:r>
          </w:p>
        </w:tc>
        <w:tc>
          <w:tcPr>
            <w:tcW w:w="3678" w:type="pct"/>
            <w:shd w:val="clear" w:color="auto" w:fill="auto"/>
          </w:tcPr>
          <w:p>
            <w:pPr>
              <w:pStyle w:val="28"/>
              <w:rPr>
                <w:rFonts w:ascii="Times New Roman" w:hAnsi="Times New Roman"/>
                <w:bCs/>
                <w:sz w:val="24"/>
                <w:szCs w:val="24"/>
              </w:rPr>
            </w:pPr>
            <w:r>
              <w:rPr>
                <w:rFonts w:ascii="Times New Roman" w:hAnsi="Times New Roman"/>
                <w:bCs/>
                <w:sz w:val="24"/>
                <w:szCs w:val="24"/>
              </w:rPr>
              <w:t xml:space="preserve">вул. Верхній Вал, 27 </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2.</w:t>
            </w:r>
          </w:p>
        </w:tc>
        <w:tc>
          <w:tcPr>
            <w:tcW w:w="3678" w:type="pct"/>
            <w:shd w:val="clear" w:color="auto" w:fill="auto"/>
          </w:tcPr>
          <w:p>
            <w:pPr>
              <w:rPr>
                <w:bCs/>
                <w:sz w:val="24"/>
                <w:szCs w:val="24"/>
              </w:rPr>
            </w:pPr>
            <w:r>
              <w:rPr>
                <w:bCs/>
                <w:sz w:val="24"/>
                <w:szCs w:val="24"/>
              </w:rPr>
              <w:t xml:space="preserve">вул. Гната Юри, б/н </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3.</w:t>
            </w:r>
          </w:p>
        </w:tc>
        <w:tc>
          <w:tcPr>
            <w:tcW w:w="3678" w:type="pct"/>
            <w:shd w:val="clear" w:color="auto" w:fill="auto"/>
          </w:tcPr>
          <w:p>
            <w:pPr>
              <w:rPr>
                <w:bCs/>
                <w:sz w:val="24"/>
                <w:szCs w:val="24"/>
              </w:rPr>
            </w:pPr>
            <w:r>
              <w:rPr>
                <w:bCs/>
                <w:sz w:val="24"/>
                <w:szCs w:val="24"/>
              </w:rPr>
              <w:t>вул. Трьохсвятительська,4 літ «Г»</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4.</w:t>
            </w:r>
          </w:p>
        </w:tc>
        <w:tc>
          <w:tcPr>
            <w:tcW w:w="3678" w:type="pct"/>
            <w:shd w:val="clear" w:color="auto" w:fill="auto"/>
          </w:tcPr>
          <w:p>
            <w:pPr>
              <w:rPr>
                <w:bCs/>
                <w:sz w:val="24"/>
                <w:szCs w:val="24"/>
              </w:rPr>
            </w:pPr>
            <w:r>
              <w:rPr>
                <w:bCs/>
                <w:sz w:val="24"/>
                <w:szCs w:val="24"/>
              </w:rPr>
              <w:t>вул. Депутатська,1-Д</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5.</w:t>
            </w:r>
          </w:p>
        </w:tc>
        <w:tc>
          <w:tcPr>
            <w:tcW w:w="3678" w:type="pct"/>
            <w:shd w:val="clear" w:color="auto" w:fill="auto"/>
          </w:tcPr>
          <w:p>
            <w:pPr>
              <w:rPr>
                <w:bCs/>
                <w:sz w:val="24"/>
                <w:szCs w:val="24"/>
              </w:rPr>
            </w:pPr>
            <w:r>
              <w:rPr>
                <w:bCs/>
                <w:sz w:val="24"/>
                <w:szCs w:val="24"/>
              </w:rPr>
              <w:t>пл. Космонавтів, б/н</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6.</w:t>
            </w:r>
          </w:p>
        </w:tc>
        <w:tc>
          <w:tcPr>
            <w:tcW w:w="3678" w:type="pct"/>
            <w:shd w:val="clear" w:color="auto" w:fill="auto"/>
          </w:tcPr>
          <w:p>
            <w:pPr>
              <w:rPr>
                <w:sz w:val="24"/>
                <w:szCs w:val="24"/>
              </w:rPr>
            </w:pPr>
            <w:r>
              <w:rPr>
                <w:sz w:val="24"/>
                <w:szCs w:val="24"/>
              </w:rPr>
              <w:t>Севастопольська площа, б/н 1</w:t>
            </w:r>
          </w:p>
        </w:tc>
        <w:tc>
          <w:tcPr>
            <w:tcW w:w="1009" w:type="pct"/>
          </w:tcPr>
          <w:p>
            <w:pPr>
              <w:jc w:val="center"/>
              <w:rPr>
                <w:sz w:val="24"/>
                <w:szCs w:val="24"/>
              </w:rPr>
            </w:pPr>
            <w:r>
              <w:rPr>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3" w:type="pct"/>
            <w:shd w:val="clear" w:color="auto" w:fill="auto"/>
          </w:tcPr>
          <w:p>
            <w:pPr>
              <w:jc w:val="center"/>
              <w:rPr>
                <w:sz w:val="24"/>
                <w:szCs w:val="24"/>
              </w:rPr>
            </w:pPr>
            <w:r>
              <w:rPr>
                <w:sz w:val="24"/>
                <w:szCs w:val="24"/>
              </w:rPr>
              <w:t>7.</w:t>
            </w:r>
          </w:p>
        </w:tc>
        <w:tc>
          <w:tcPr>
            <w:tcW w:w="3678" w:type="pct"/>
            <w:shd w:val="clear" w:color="auto" w:fill="auto"/>
          </w:tcPr>
          <w:p>
            <w:pPr>
              <w:rPr>
                <w:sz w:val="24"/>
                <w:szCs w:val="24"/>
              </w:rPr>
            </w:pPr>
            <w:r>
              <w:rPr>
                <w:bCs/>
                <w:sz w:val="24"/>
                <w:szCs w:val="24"/>
              </w:rPr>
              <w:t>вул. Олени Теліги, 14-А</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8.</w:t>
            </w:r>
          </w:p>
        </w:tc>
        <w:tc>
          <w:tcPr>
            <w:tcW w:w="3678" w:type="pct"/>
            <w:shd w:val="clear" w:color="auto" w:fill="auto"/>
          </w:tcPr>
          <w:p>
            <w:pPr>
              <w:rPr>
                <w:sz w:val="24"/>
                <w:szCs w:val="24"/>
              </w:rPr>
            </w:pPr>
            <w:r>
              <w:rPr>
                <w:sz w:val="24"/>
                <w:szCs w:val="24"/>
              </w:rPr>
              <w:t>просп. Академіка Глушкова, 22-А</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9.</w:t>
            </w:r>
          </w:p>
        </w:tc>
        <w:tc>
          <w:tcPr>
            <w:tcW w:w="3678" w:type="pct"/>
            <w:shd w:val="clear" w:color="auto" w:fill="auto"/>
          </w:tcPr>
          <w:p>
            <w:pPr>
              <w:rPr>
                <w:sz w:val="24"/>
                <w:szCs w:val="24"/>
              </w:rPr>
            </w:pPr>
            <w:r>
              <w:rPr>
                <w:sz w:val="24"/>
                <w:szCs w:val="24"/>
              </w:rPr>
              <w:t>пл. Українських Героїв ( Льва Толстого),1-А</w:t>
            </w:r>
          </w:p>
        </w:tc>
        <w:tc>
          <w:tcPr>
            <w:tcW w:w="1009" w:type="pct"/>
          </w:tcPr>
          <w:p>
            <w:pPr>
              <w:jc w:val="center"/>
              <w:rPr>
                <w:color w:val="000000"/>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10.</w:t>
            </w:r>
          </w:p>
        </w:tc>
        <w:tc>
          <w:tcPr>
            <w:tcW w:w="3678" w:type="pct"/>
            <w:shd w:val="clear" w:color="auto" w:fill="auto"/>
          </w:tcPr>
          <w:p>
            <w:pPr>
              <w:rPr>
                <w:sz w:val="24"/>
                <w:szCs w:val="24"/>
              </w:rPr>
            </w:pPr>
            <w:r>
              <w:rPr>
                <w:sz w:val="24"/>
                <w:szCs w:val="24"/>
              </w:rPr>
              <w:t>просп. Академіка Глушкова, 22-А</w:t>
            </w:r>
          </w:p>
        </w:tc>
        <w:tc>
          <w:tcPr>
            <w:tcW w:w="1009" w:type="pct"/>
          </w:tcPr>
          <w:p>
            <w:pPr>
              <w:jc w:val="center"/>
              <w:rPr>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11.</w:t>
            </w:r>
          </w:p>
        </w:tc>
        <w:tc>
          <w:tcPr>
            <w:tcW w:w="3678" w:type="pct"/>
            <w:shd w:val="clear" w:color="auto" w:fill="auto"/>
          </w:tcPr>
          <w:p>
            <w:pPr>
              <w:rPr>
                <w:sz w:val="24"/>
                <w:szCs w:val="24"/>
              </w:rPr>
            </w:pPr>
            <w:r>
              <w:rPr>
                <w:sz w:val="24"/>
                <w:szCs w:val="24"/>
              </w:rPr>
              <w:t>просп. Броварський ,12-А</w:t>
            </w:r>
          </w:p>
        </w:tc>
        <w:tc>
          <w:tcPr>
            <w:tcW w:w="1009" w:type="pct"/>
          </w:tcPr>
          <w:p>
            <w:pPr>
              <w:jc w:val="center"/>
              <w:rPr>
                <w:color w:val="000000"/>
                <w:sz w:val="24"/>
                <w:szCs w:val="24"/>
              </w:rPr>
            </w:pPr>
            <w:r>
              <w:rPr>
                <w:color w:val="000000"/>
                <w:sz w:val="24"/>
                <w:szCs w:val="24"/>
              </w:rPr>
              <w:t>12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13" w:type="pct"/>
            <w:shd w:val="clear" w:color="auto" w:fill="auto"/>
          </w:tcPr>
          <w:p>
            <w:pPr>
              <w:jc w:val="center"/>
              <w:rPr>
                <w:sz w:val="24"/>
                <w:szCs w:val="24"/>
              </w:rPr>
            </w:pPr>
            <w:r>
              <w:rPr>
                <w:sz w:val="24"/>
                <w:szCs w:val="24"/>
              </w:rPr>
              <w:t>12.</w:t>
            </w:r>
          </w:p>
        </w:tc>
        <w:tc>
          <w:tcPr>
            <w:tcW w:w="3678" w:type="pct"/>
            <w:shd w:val="clear" w:color="auto" w:fill="auto"/>
          </w:tcPr>
          <w:p>
            <w:pPr>
              <w:rPr>
                <w:sz w:val="24"/>
                <w:szCs w:val="24"/>
              </w:rPr>
            </w:pPr>
            <w:r>
              <w:rPr>
                <w:sz w:val="24"/>
                <w:szCs w:val="24"/>
              </w:rPr>
              <w:t xml:space="preserve">Резервний </w:t>
            </w:r>
          </w:p>
        </w:tc>
        <w:tc>
          <w:tcPr>
            <w:tcW w:w="1009" w:type="pct"/>
          </w:tcPr>
          <w:p>
            <w:pPr>
              <w:jc w:val="center"/>
              <w:rPr>
                <w:color w:val="000000"/>
                <w:sz w:val="24"/>
                <w:szCs w:val="24"/>
              </w:rPr>
            </w:pPr>
            <w:r>
              <w:rPr>
                <w:color w:val="000000"/>
                <w:sz w:val="24"/>
                <w:szCs w:val="24"/>
              </w:rPr>
              <w:t>12 місяців</w:t>
            </w:r>
          </w:p>
        </w:tc>
      </w:tr>
    </w:tbl>
    <w:p>
      <w:pPr>
        <w:spacing w:before="100" w:beforeAutospacing="1" w:after="100" w:afterAutospacing="1"/>
        <w:jc w:val="center"/>
        <w:rPr>
          <w:b/>
          <w:bCs/>
          <w:lang w:val="zh-CN"/>
        </w:rPr>
      </w:pPr>
      <w:bookmarkStart w:id="17" w:name="_GoBack"/>
      <w:bookmarkEnd w:id="17"/>
    </w:p>
    <w:sectPr>
      <w:pgSz w:w="11910" w:h="16840"/>
      <w:pgMar w:top="1134" w:right="850" w:bottom="1134" w:left="1701" w:header="708" w:footer="70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PMingLiU">
    <w:altName w:val="SimSun"/>
    <w:panose1 w:val="00000000000000000000"/>
    <w:charset w:val="86"/>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95F23"/>
    <w:multiLevelType w:val="multilevel"/>
    <w:tmpl w:val="0F695F23"/>
    <w:lvl w:ilvl="0" w:tentative="0">
      <w:start w:val="0"/>
      <w:numFmt w:val="bullet"/>
      <w:lvlText w:val="-"/>
      <w:lvlJc w:val="left"/>
      <w:pPr>
        <w:ind w:left="720" w:hanging="360"/>
      </w:pPr>
      <w:rPr>
        <w:rFonts w:hint="default" w:ascii="Times New Roman" w:hAnsi="Times New Roman" w:eastAsia="Times New Roman" w:cs="Times New Roman"/>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8D7D3B"/>
    <w:multiLevelType w:val="multilevel"/>
    <w:tmpl w:val="118D7D3B"/>
    <w:lvl w:ilvl="0" w:tentative="0">
      <w:start w:val="2"/>
      <w:numFmt w:val="decimal"/>
      <w:lvlText w:val="%1)"/>
      <w:lvlJc w:val="left"/>
      <w:pPr>
        <w:ind w:left="-135" w:hanging="360"/>
      </w:pPr>
      <w:rPr>
        <w:rFonts w:hint="default"/>
      </w:rPr>
    </w:lvl>
    <w:lvl w:ilvl="1" w:tentative="0">
      <w:start w:val="1"/>
      <w:numFmt w:val="lowerLetter"/>
      <w:lvlText w:val="%2."/>
      <w:lvlJc w:val="left"/>
      <w:pPr>
        <w:ind w:left="585" w:hanging="360"/>
      </w:pPr>
    </w:lvl>
    <w:lvl w:ilvl="2" w:tentative="0">
      <w:start w:val="1"/>
      <w:numFmt w:val="lowerRoman"/>
      <w:lvlText w:val="%3."/>
      <w:lvlJc w:val="right"/>
      <w:pPr>
        <w:ind w:left="1305" w:hanging="180"/>
      </w:pPr>
    </w:lvl>
    <w:lvl w:ilvl="3" w:tentative="0">
      <w:start w:val="1"/>
      <w:numFmt w:val="decimal"/>
      <w:lvlText w:val="%4."/>
      <w:lvlJc w:val="left"/>
      <w:pPr>
        <w:ind w:left="2025" w:hanging="360"/>
      </w:pPr>
    </w:lvl>
    <w:lvl w:ilvl="4" w:tentative="0">
      <w:start w:val="1"/>
      <w:numFmt w:val="lowerLetter"/>
      <w:lvlText w:val="%5."/>
      <w:lvlJc w:val="left"/>
      <w:pPr>
        <w:ind w:left="2745" w:hanging="360"/>
      </w:pPr>
    </w:lvl>
    <w:lvl w:ilvl="5" w:tentative="0">
      <w:start w:val="1"/>
      <w:numFmt w:val="lowerRoman"/>
      <w:lvlText w:val="%6."/>
      <w:lvlJc w:val="right"/>
      <w:pPr>
        <w:ind w:left="3465" w:hanging="180"/>
      </w:pPr>
    </w:lvl>
    <w:lvl w:ilvl="6" w:tentative="0">
      <w:start w:val="1"/>
      <w:numFmt w:val="decimal"/>
      <w:lvlText w:val="%7."/>
      <w:lvlJc w:val="left"/>
      <w:pPr>
        <w:ind w:left="4185" w:hanging="360"/>
      </w:pPr>
    </w:lvl>
    <w:lvl w:ilvl="7" w:tentative="0">
      <w:start w:val="1"/>
      <w:numFmt w:val="lowerLetter"/>
      <w:lvlText w:val="%8."/>
      <w:lvlJc w:val="left"/>
      <w:pPr>
        <w:ind w:left="4905" w:hanging="360"/>
      </w:pPr>
    </w:lvl>
    <w:lvl w:ilvl="8" w:tentative="0">
      <w:start w:val="1"/>
      <w:numFmt w:val="lowerRoman"/>
      <w:lvlText w:val="%9."/>
      <w:lvlJc w:val="right"/>
      <w:pPr>
        <w:ind w:left="5625" w:hanging="180"/>
      </w:pPr>
    </w:lvl>
  </w:abstractNum>
  <w:abstractNum w:abstractNumId="2">
    <w:nsid w:val="11C327F0"/>
    <w:multiLevelType w:val="multilevel"/>
    <w:tmpl w:val="11C327F0"/>
    <w:lvl w:ilvl="0" w:tentative="0">
      <w:start w:val="0"/>
      <w:numFmt w:val="bullet"/>
      <w:lvlText w:val="-"/>
      <w:lvlJc w:val="left"/>
      <w:pPr>
        <w:ind w:left="225" w:hanging="168"/>
      </w:pPr>
      <w:rPr>
        <w:rFonts w:hint="default" w:ascii="Arial MT" w:hAnsi="Arial MT" w:eastAsia="Arial MT" w:cs="Arial MT"/>
        <w:w w:val="100"/>
        <w:sz w:val="24"/>
        <w:szCs w:val="24"/>
        <w:lang w:val="uk-UA" w:eastAsia="en-US" w:bidi="ar-SA"/>
      </w:rPr>
    </w:lvl>
    <w:lvl w:ilvl="1" w:tentative="0">
      <w:start w:val="0"/>
      <w:numFmt w:val="bullet"/>
      <w:lvlText w:val="•"/>
      <w:lvlJc w:val="left"/>
      <w:pPr>
        <w:ind w:left="862" w:hanging="168"/>
      </w:pPr>
      <w:rPr>
        <w:rFonts w:hint="default"/>
        <w:lang w:val="uk-UA" w:eastAsia="en-US" w:bidi="ar-SA"/>
      </w:rPr>
    </w:lvl>
    <w:lvl w:ilvl="2" w:tentative="0">
      <w:start w:val="0"/>
      <w:numFmt w:val="bullet"/>
      <w:lvlText w:val="•"/>
      <w:lvlJc w:val="left"/>
      <w:pPr>
        <w:ind w:left="1505" w:hanging="168"/>
      </w:pPr>
      <w:rPr>
        <w:rFonts w:hint="default"/>
        <w:lang w:val="uk-UA" w:eastAsia="en-US" w:bidi="ar-SA"/>
      </w:rPr>
    </w:lvl>
    <w:lvl w:ilvl="3" w:tentative="0">
      <w:start w:val="0"/>
      <w:numFmt w:val="bullet"/>
      <w:lvlText w:val="•"/>
      <w:lvlJc w:val="left"/>
      <w:pPr>
        <w:ind w:left="2147" w:hanging="168"/>
      </w:pPr>
      <w:rPr>
        <w:rFonts w:hint="default"/>
        <w:lang w:val="uk-UA" w:eastAsia="en-US" w:bidi="ar-SA"/>
      </w:rPr>
    </w:lvl>
    <w:lvl w:ilvl="4" w:tentative="0">
      <w:start w:val="0"/>
      <w:numFmt w:val="bullet"/>
      <w:lvlText w:val="•"/>
      <w:lvlJc w:val="left"/>
      <w:pPr>
        <w:ind w:left="2790" w:hanging="168"/>
      </w:pPr>
      <w:rPr>
        <w:rFonts w:hint="default"/>
        <w:lang w:val="uk-UA" w:eastAsia="en-US" w:bidi="ar-SA"/>
      </w:rPr>
    </w:lvl>
    <w:lvl w:ilvl="5" w:tentative="0">
      <w:start w:val="0"/>
      <w:numFmt w:val="bullet"/>
      <w:lvlText w:val="•"/>
      <w:lvlJc w:val="left"/>
      <w:pPr>
        <w:ind w:left="3432" w:hanging="168"/>
      </w:pPr>
      <w:rPr>
        <w:rFonts w:hint="default"/>
        <w:lang w:val="uk-UA" w:eastAsia="en-US" w:bidi="ar-SA"/>
      </w:rPr>
    </w:lvl>
    <w:lvl w:ilvl="6" w:tentative="0">
      <w:start w:val="0"/>
      <w:numFmt w:val="bullet"/>
      <w:lvlText w:val="•"/>
      <w:lvlJc w:val="left"/>
      <w:pPr>
        <w:ind w:left="4075" w:hanging="168"/>
      </w:pPr>
      <w:rPr>
        <w:rFonts w:hint="default"/>
        <w:lang w:val="uk-UA" w:eastAsia="en-US" w:bidi="ar-SA"/>
      </w:rPr>
    </w:lvl>
    <w:lvl w:ilvl="7" w:tentative="0">
      <w:start w:val="0"/>
      <w:numFmt w:val="bullet"/>
      <w:lvlText w:val="•"/>
      <w:lvlJc w:val="left"/>
      <w:pPr>
        <w:ind w:left="4717" w:hanging="168"/>
      </w:pPr>
      <w:rPr>
        <w:rFonts w:hint="default"/>
        <w:lang w:val="uk-UA" w:eastAsia="en-US" w:bidi="ar-SA"/>
      </w:rPr>
    </w:lvl>
    <w:lvl w:ilvl="8" w:tentative="0">
      <w:start w:val="0"/>
      <w:numFmt w:val="bullet"/>
      <w:lvlText w:val="•"/>
      <w:lvlJc w:val="left"/>
      <w:pPr>
        <w:ind w:left="5360" w:hanging="168"/>
      </w:pPr>
      <w:rPr>
        <w:rFonts w:hint="default"/>
        <w:lang w:val="uk-UA" w:eastAsia="en-US" w:bidi="ar-SA"/>
      </w:rPr>
    </w:lvl>
  </w:abstractNum>
  <w:abstractNum w:abstractNumId="3">
    <w:nsid w:val="26041542"/>
    <w:multiLevelType w:val="multilevel"/>
    <w:tmpl w:val="26041542"/>
    <w:lvl w:ilvl="0" w:tentative="0">
      <w:start w:val="0"/>
      <w:numFmt w:val="bullet"/>
      <w:lvlText w:val="-"/>
      <w:lvlJc w:val="left"/>
      <w:pPr>
        <w:ind w:left="234" w:hanging="154"/>
      </w:pPr>
      <w:rPr>
        <w:rFonts w:hint="default" w:ascii="Times New Roman" w:hAnsi="Times New Roman" w:eastAsia="Times New Roman" w:cs="Times New Roman"/>
        <w:w w:val="99"/>
        <w:sz w:val="24"/>
        <w:szCs w:val="24"/>
        <w:lang w:val="uk-UA" w:eastAsia="en-US" w:bidi="ar-SA"/>
      </w:rPr>
    </w:lvl>
    <w:lvl w:ilvl="1" w:tentative="0">
      <w:start w:val="0"/>
      <w:numFmt w:val="bullet"/>
      <w:lvlText w:val="•"/>
      <w:lvlJc w:val="left"/>
      <w:pPr>
        <w:ind w:left="880" w:hanging="154"/>
      </w:pPr>
      <w:rPr>
        <w:rFonts w:hint="default"/>
        <w:lang w:val="uk-UA" w:eastAsia="en-US" w:bidi="ar-SA"/>
      </w:rPr>
    </w:lvl>
    <w:lvl w:ilvl="2" w:tentative="0">
      <w:start w:val="0"/>
      <w:numFmt w:val="bullet"/>
      <w:lvlText w:val="•"/>
      <w:lvlJc w:val="left"/>
      <w:pPr>
        <w:ind w:left="1521" w:hanging="154"/>
      </w:pPr>
      <w:rPr>
        <w:rFonts w:hint="default"/>
        <w:lang w:val="uk-UA" w:eastAsia="en-US" w:bidi="ar-SA"/>
      </w:rPr>
    </w:lvl>
    <w:lvl w:ilvl="3" w:tentative="0">
      <w:start w:val="0"/>
      <w:numFmt w:val="bullet"/>
      <w:lvlText w:val="•"/>
      <w:lvlJc w:val="left"/>
      <w:pPr>
        <w:ind w:left="2161" w:hanging="154"/>
      </w:pPr>
      <w:rPr>
        <w:rFonts w:hint="default"/>
        <w:lang w:val="uk-UA" w:eastAsia="en-US" w:bidi="ar-SA"/>
      </w:rPr>
    </w:lvl>
    <w:lvl w:ilvl="4" w:tentative="0">
      <w:start w:val="0"/>
      <w:numFmt w:val="bullet"/>
      <w:lvlText w:val="•"/>
      <w:lvlJc w:val="left"/>
      <w:pPr>
        <w:ind w:left="2802" w:hanging="154"/>
      </w:pPr>
      <w:rPr>
        <w:rFonts w:hint="default"/>
        <w:lang w:val="uk-UA" w:eastAsia="en-US" w:bidi="ar-SA"/>
      </w:rPr>
    </w:lvl>
    <w:lvl w:ilvl="5" w:tentative="0">
      <w:start w:val="0"/>
      <w:numFmt w:val="bullet"/>
      <w:lvlText w:val="•"/>
      <w:lvlJc w:val="left"/>
      <w:pPr>
        <w:ind w:left="3442" w:hanging="154"/>
      </w:pPr>
      <w:rPr>
        <w:rFonts w:hint="default"/>
        <w:lang w:val="uk-UA" w:eastAsia="en-US" w:bidi="ar-SA"/>
      </w:rPr>
    </w:lvl>
    <w:lvl w:ilvl="6" w:tentative="0">
      <w:start w:val="0"/>
      <w:numFmt w:val="bullet"/>
      <w:lvlText w:val="•"/>
      <w:lvlJc w:val="left"/>
      <w:pPr>
        <w:ind w:left="4083" w:hanging="154"/>
      </w:pPr>
      <w:rPr>
        <w:rFonts w:hint="default"/>
        <w:lang w:val="uk-UA" w:eastAsia="en-US" w:bidi="ar-SA"/>
      </w:rPr>
    </w:lvl>
    <w:lvl w:ilvl="7" w:tentative="0">
      <w:start w:val="0"/>
      <w:numFmt w:val="bullet"/>
      <w:lvlText w:val="•"/>
      <w:lvlJc w:val="left"/>
      <w:pPr>
        <w:ind w:left="4723" w:hanging="154"/>
      </w:pPr>
      <w:rPr>
        <w:rFonts w:hint="default"/>
        <w:lang w:val="uk-UA" w:eastAsia="en-US" w:bidi="ar-SA"/>
      </w:rPr>
    </w:lvl>
    <w:lvl w:ilvl="8" w:tentative="0">
      <w:start w:val="0"/>
      <w:numFmt w:val="bullet"/>
      <w:lvlText w:val="•"/>
      <w:lvlJc w:val="left"/>
      <w:pPr>
        <w:ind w:left="5364" w:hanging="154"/>
      </w:pPr>
      <w:rPr>
        <w:rFonts w:hint="default"/>
        <w:lang w:val="uk-UA" w:eastAsia="en-US" w:bidi="ar-SA"/>
      </w:rPr>
    </w:lvl>
  </w:abstractNum>
  <w:abstractNum w:abstractNumId="4">
    <w:nsid w:val="281C0750"/>
    <w:multiLevelType w:val="multilevel"/>
    <w:tmpl w:val="281C0750"/>
    <w:lvl w:ilvl="0" w:tentative="0">
      <w:start w:val="0"/>
      <w:numFmt w:val="bullet"/>
      <w:lvlText w:val="-"/>
      <w:lvlJc w:val="left"/>
      <w:pPr>
        <w:ind w:left="720" w:hanging="360"/>
      </w:pPr>
      <w:rPr>
        <w:rFonts w:hint="default" w:ascii="Times New Roman" w:hAnsi="Times New Roman" w:eastAsia="Times New Roman" w:cs="Times New Roman"/>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23312F9"/>
    <w:multiLevelType w:val="multilevel"/>
    <w:tmpl w:val="323312F9"/>
    <w:lvl w:ilvl="0" w:tentative="0">
      <w:start w:val="1"/>
      <w:numFmt w:val="decimal"/>
      <w:lvlText w:val="%1."/>
      <w:lvlJc w:val="left"/>
      <w:pPr>
        <w:ind w:left="720" w:hanging="360"/>
      </w:pPr>
      <w:rPr>
        <w:rFonts w:hint="default" w:ascii="Times New Roman" w:hAnsi="Times New Roman" w:cs="Times New Roman"/>
        <w:sz w:val="24"/>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785"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6">
    <w:nsid w:val="472F1665"/>
    <w:multiLevelType w:val="multilevel"/>
    <w:tmpl w:val="472F1665"/>
    <w:lvl w:ilvl="0" w:tentative="0">
      <w:start w:val="0"/>
      <w:numFmt w:val="bullet"/>
      <w:lvlText w:val="-"/>
      <w:lvlJc w:val="left"/>
      <w:pPr>
        <w:ind w:left="720" w:hanging="360"/>
      </w:pPr>
      <w:rPr>
        <w:rFonts w:hint="default" w:ascii="Times New Roman" w:hAnsi="Times New Roman" w:eastAsia="Times New Roman" w:cs="Times New Roman"/>
        <w:w w:val="99"/>
        <w:sz w:val="24"/>
        <w:szCs w:val="24"/>
        <w:lang w:val="uk-UA"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F608D7"/>
    <w:multiLevelType w:val="multilevel"/>
    <w:tmpl w:val="51F608D7"/>
    <w:lvl w:ilvl="0" w:tentative="0">
      <w:start w:val="0"/>
      <w:numFmt w:val="bullet"/>
      <w:lvlText w:val="-"/>
      <w:lvlJc w:val="left"/>
      <w:pPr>
        <w:ind w:left="1168" w:hanging="360"/>
      </w:pPr>
      <w:rPr>
        <w:rFonts w:hint="default" w:ascii="Times New Roman" w:hAnsi="Times New Roman" w:eastAsia="Times New Roman" w:cs="Times New Roman"/>
        <w:w w:val="99"/>
        <w:sz w:val="24"/>
        <w:szCs w:val="24"/>
        <w:lang w:val="uk-UA" w:eastAsia="en-US" w:bidi="ar-SA"/>
      </w:rPr>
    </w:lvl>
    <w:lvl w:ilvl="1" w:tentative="0">
      <w:start w:val="1"/>
      <w:numFmt w:val="bullet"/>
      <w:lvlText w:val="o"/>
      <w:lvlJc w:val="left"/>
      <w:pPr>
        <w:ind w:left="1888" w:hanging="360"/>
      </w:pPr>
      <w:rPr>
        <w:rFonts w:hint="default" w:ascii="Courier New" w:hAnsi="Courier New" w:cs="Courier New"/>
      </w:rPr>
    </w:lvl>
    <w:lvl w:ilvl="2" w:tentative="0">
      <w:start w:val="1"/>
      <w:numFmt w:val="bullet"/>
      <w:lvlText w:val=""/>
      <w:lvlJc w:val="left"/>
      <w:pPr>
        <w:ind w:left="2608" w:hanging="360"/>
      </w:pPr>
      <w:rPr>
        <w:rFonts w:hint="default" w:ascii="Wingdings" w:hAnsi="Wingdings"/>
      </w:rPr>
    </w:lvl>
    <w:lvl w:ilvl="3" w:tentative="0">
      <w:start w:val="1"/>
      <w:numFmt w:val="bullet"/>
      <w:lvlText w:val=""/>
      <w:lvlJc w:val="left"/>
      <w:pPr>
        <w:ind w:left="3328" w:hanging="360"/>
      </w:pPr>
      <w:rPr>
        <w:rFonts w:hint="default" w:ascii="Symbol" w:hAnsi="Symbol"/>
      </w:rPr>
    </w:lvl>
    <w:lvl w:ilvl="4" w:tentative="0">
      <w:start w:val="1"/>
      <w:numFmt w:val="bullet"/>
      <w:lvlText w:val="o"/>
      <w:lvlJc w:val="left"/>
      <w:pPr>
        <w:ind w:left="4048" w:hanging="360"/>
      </w:pPr>
      <w:rPr>
        <w:rFonts w:hint="default" w:ascii="Courier New" w:hAnsi="Courier New" w:cs="Courier New"/>
      </w:rPr>
    </w:lvl>
    <w:lvl w:ilvl="5" w:tentative="0">
      <w:start w:val="1"/>
      <w:numFmt w:val="bullet"/>
      <w:lvlText w:val=""/>
      <w:lvlJc w:val="left"/>
      <w:pPr>
        <w:ind w:left="4768" w:hanging="360"/>
      </w:pPr>
      <w:rPr>
        <w:rFonts w:hint="default" w:ascii="Wingdings" w:hAnsi="Wingdings"/>
      </w:rPr>
    </w:lvl>
    <w:lvl w:ilvl="6" w:tentative="0">
      <w:start w:val="1"/>
      <w:numFmt w:val="bullet"/>
      <w:lvlText w:val=""/>
      <w:lvlJc w:val="left"/>
      <w:pPr>
        <w:ind w:left="5488" w:hanging="360"/>
      </w:pPr>
      <w:rPr>
        <w:rFonts w:hint="default" w:ascii="Symbol" w:hAnsi="Symbol"/>
      </w:rPr>
    </w:lvl>
    <w:lvl w:ilvl="7" w:tentative="0">
      <w:start w:val="1"/>
      <w:numFmt w:val="bullet"/>
      <w:lvlText w:val="o"/>
      <w:lvlJc w:val="left"/>
      <w:pPr>
        <w:ind w:left="6208" w:hanging="360"/>
      </w:pPr>
      <w:rPr>
        <w:rFonts w:hint="default" w:ascii="Courier New" w:hAnsi="Courier New" w:cs="Courier New"/>
      </w:rPr>
    </w:lvl>
    <w:lvl w:ilvl="8" w:tentative="0">
      <w:start w:val="1"/>
      <w:numFmt w:val="bullet"/>
      <w:lvlText w:val=""/>
      <w:lvlJc w:val="left"/>
      <w:pPr>
        <w:ind w:left="6928" w:hanging="360"/>
      </w:pPr>
      <w:rPr>
        <w:rFonts w:hint="default" w:ascii="Wingdings" w:hAnsi="Wingdings"/>
      </w:rPr>
    </w:lvl>
  </w:abstractNum>
  <w:abstractNum w:abstractNumId="8">
    <w:nsid w:val="539A725A"/>
    <w:multiLevelType w:val="multilevel"/>
    <w:tmpl w:val="539A725A"/>
    <w:lvl w:ilvl="0" w:tentative="0">
      <w:start w:val="0"/>
      <w:numFmt w:val="bullet"/>
      <w:lvlText w:val="-"/>
      <w:lvlJc w:val="left"/>
      <w:pPr>
        <w:ind w:left="688" w:hanging="360"/>
      </w:pPr>
      <w:rPr>
        <w:rFonts w:hint="default" w:ascii="Times New Roman" w:hAnsi="Times New Roman" w:eastAsia="Times New Roman" w:cs="Times New Roman"/>
        <w:w w:val="99"/>
        <w:sz w:val="24"/>
        <w:szCs w:val="24"/>
        <w:lang w:val="uk-UA" w:eastAsia="en-US" w:bidi="ar-SA"/>
      </w:rPr>
    </w:lvl>
    <w:lvl w:ilvl="1" w:tentative="0">
      <w:start w:val="1"/>
      <w:numFmt w:val="bullet"/>
      <w:lvlText w:val="o"/>
      <w:lvlJc w:val="left"/>
      <w:pPr>
        <w:ind w:left="1408" w:hanging="360"/>
      </w:pPr>
      <w:rPr>
        <w:rFonts w:hint="default" w:ascii="Courier New" w:hAnsi="Courier New" w:cs="Courier New"/>
      </w:rPr>
    </w:lvl>
    <w:lvl w:ilvl="2" w:tentative="0">
      <w:start w:val="1"/>
      <w:numFmt w:val="bullet"/>
      <w:lvlText w:val=""/>
      <w:lvlJc w:val="left"/>
      <w:pPr>
        <w:ind w:left="2128" w:hanging="360"/>
      </w:pPr>
      <w:rPr>
        <w:rFonts w:hint="default" w:ascii="Wingdings" w:hAnsi="Wingdings"/>
      </w:rPr>
    </w:lvl>
    <w:lvl w:ilvl="3" w:tentative="0">
      <w:start w:val="1"/>
      <w:numFmt w:val="bullet"/>
      <w:lvlText w:val=""/>
      <w:lvlJc w:val="left"/>
      <w:pPr>
        <w:ind w:left="2848" w:hanging="360"/>
      </w:pPr>
      <w:rPr>
        <w:rFonts w:hint="default" w:ascii="Symbol" w:hAnsi="Symbol"/>
      </w:rPr>
    </w:lvl>
    <w:lvl w:ilvl="4" w:tentative="0">
      <w:start w:val="1"/>
      <w:numFmt w:val="bullet"/>
      <w:lvlText w:val="o"/>
      <w:lvlJc w:val="left"/>
      <w:pPr>
        <w:ind w:left="3568" w:hanging="360"/>
      </w:pPr>
      <w:rPr>
        <w:rFonts w:hint="default" w:ascii="Courier New" w:hAnsi="Courier New" w:cs="Courier New"/>
      </w:rPr>
    </w:lvl>
    <w:lvl w:ilvl="5" w:tentative="0">
      <w:start w:val="1"/>
      <w:numFmt w:val="bullet"/>
      <w:lvlText w:val=""/>
      <w:lvlJc w:val="left"/>
      <w:pPr>
        <w:ind w:left="4288" w:hanging="360"/>
      </w:pPr>
      <w:rPr>
        <w:rFonts w:hint="default" w:ascii="Wingdings" w:hAnsi="Wingdings"/>
      </w:rPr>
    </w:lvl>
    <w:lvl w:ilvl="6" w:tentative="0">
      <w:start w:val="1"/>
      <w:numFmt w:val="bullet"/>
      <w:lvlText w:val=""/>
      <w:lvlJc w:val="left"/>
      <w:pPr>
        <w:ind w:left="5008" w:hanging="360"/>
      </w:pPr>
      <w:rPr>
        <w:rFonts w:hint="default" w:ascii="Symbol" w:hAnsi="Symbol"/>
      </w:rPr>
    </w:lvl>
    <w:lvl w:ilvl="7" w:tentative="0">
      <w:start w:val="1"/>
      <w:numFmt w:val="bullet"/>
      <w:lvlText w:val="o"/>
      <w:lvlJc w:val="left"/>
      <w:pPr>
        <w:ind w:left="5728" w:hanging="360"/>
      </w:pPr>
      <w:rPr>
        <w:rFonts w:hint="default" w:ascii="Courier New" w:hAnsi="Courier New" w:cs="Courier New"/>
      </w:rPr>
    </w:lvl>
    <w:lvl w:ilvl="8" w:tentative="0">
      <w:start w:val="1"/>
      <w:numFmt w:val="bullet"/>
      <w:lvlText w:val=""/>
      <w:lvlJc w:val="left"/>
      <w:pPr>
        <w:ind w:left="6448" w:hanging="360"/>
      </w:pPr>
      <w:rPr>
        <w:rFonts w:hint="default" w:ascii="Wingdings" w:hAnsi="Wingdings"/>
      </w:rPr>
    </w:lvl>
  </w:abstractNum>
  <w:abstractNum w:abstractNumId="9">
    <w:nsid w:val="616061CA"/>
    <w:multiLevelType w:val="multilevel"/>
    <w:tmpl w:val="616061CA"/>
    <w:lvl w:ilvl="0" w:tentative="0">
      <w:start w:val="2"/>
      <w:numFmt w:val="bullet"/>
      <w:lvlText w:val="-"/>
      <w:lvlJc w:val="left"/>
      <w:pPr>
        <w:ind w:left="395" w:hanging="360"/>
      </w:pPr>
      <w:rPr>
        <w:rFonts w:hint="default" w:ascii="Times New Roman" w:hAnsi="Times New Roman" w:eastAsia="Times New Roman" w:cs="Times New Roman"/>
      </w:rPr>
    </w:lvl>
    <w:lvl w:ilvl="1" w:tentative="0">
      <w:start w:val="1"/>
      <w:numFmt w:val="bullet"/>
      <w:lvlText w:val="o"/>
      <w:lvlJc w:val="left"/>
      <w:pPr>
        <w:ind w:left="1115" w:hanging="360"/>
      </w:pPr>
      <w:rPr>
        <w:rFonts w:hint="default" w:ascii="Courier New" w:hAnsi="Courier New" w:cs="Courier New"/>
      </w:rPr>
    </w:lvl>
    <w:lvl w:ilvl="2" w:tentative="0">
      <w:start w:val="1"/>
      <w:numFmt w:val="bullet"/>
      <w:lvlText w:val=""/>
      <w:lvlJc w:val="left"/>
      <w:pPr>
        <w:ind w:left="1835" w:hanging="360"/>
      </w:pPr>
      <w:rPr>
        <w:rFonts w:hint="default" w:ascii="Wingdings" w:hAnsi="Wingdings"/>
      </w:rPr>
    </w:lvl>
    <w:lvl w:ilvl="3" w:tentative="0">
      <w:start w:val="1"/>
      <w:numFmt w:val="bullet"/>
      <w:lvlText w:val=""/>
      <w:lvlJc w:val="left"/>
      <w:pPr>
        <w:ind w:left="2555" w:hanging="360"/>
      </w:pPr>
      <w:rPr>
        <w:rFonts w:hint="default" w:ascii="Symbol" w:hAnsi="Symbol"/>
      </w:rPr>
    </w:lvl>
    <w:lvl w:ilvl="4" w:tentative="0">
      <w:start w:val="1"/>
      <w:numFmt w:val="bullet"/>
      <w:lvlText w:val="o"/>
      <w:lvlJc w:val="left"/>
      <w:pPr>
        <w:ind w:left="3275" w:hanging="360"/>
      </w:pPr>
      <w:rPr>
        <w:rFonts w:hint="default" w:ascii="Courier New" w:hAnsi="Courier New" w:cs="Courier New"/>
      </w:rPr>
    </w:lvl>
    <w:lvl w:ilvl="5" w:tentative="0">
      <w:start w:val="1"/>
      <w:numFmt w:val="bullet"/>
      <w:lvlText w:val=""/>
      <w:lvlJc w:val="left"/>
      <w:pPr>
        <w:ind w:left="3995" w:hanging="360"/>
      </w:pPr>
      <w:rPr>
        <w:rFonts w:hint="default" w:ascii="Wingdings" w:hAnsi="Wingdings"/>
      </w:rPr>
    </w:lvl>
    <w:lvl w:ilvl="6" w:tentative="0">
      <w:start w:val="1"/>
      <w:numFmt w:val="bullet"/>
      <w:lvlText w:val=""/>
      <w:lvlJc w:val="left"/>
      <w:pPr>
        <w:ind w:left="4715" w:hanging="360"/>
      </w:pPr>
      <w:rPr>
        <w:rFonts w:hint="default" w:ascii="Symbol" w:hAnsi="Symbol"/>
      </w:rPr>
    </w:lvl>
    <w:lvl w:ilvl="7" w:tentative="0">
      <w:start w:val="1"/>
      <w:numFmt w:val="bullet"/>
      <w:lvlText w:val="o"/>
      <w:lvlJc w:val="left"/>
      <w:pPr>
        <w:ind w:left="5435" w:hanging="360"/>
      </w:pPr>
      <w:rPr>
        <w:rFonts w:hint="default" w:ascii="Courier New" w:hAnsi="Courier New" w:cs="Courier New"/>
      </w:rPr>
    </w:lvl>
    <w:lvl w:ilvl="8" w:tentative="0">
      <w:start w:val="1"/>
      <w:numFmt w:val="bullet"/>
      <w:lvlText w:val=""/>
      <w:lvlJc w:val="left"/>
      <w:pPr>
        <w:ind w:left="6155" w:hanging="360"/>
      </w:pPr>
      <w:rPr>
        <w:rFonts w:hint="default" w:ascii="Wingdings" w:hAnsi="Wingdings"/>
      </w:rPr>
    </w:lvl>
  </w:abstractNum>
  <w:abstractNum w:abstractNumId="10">
    <w:nsid w:val="65220FFE"/>
    <w:multiLevelType w:val="multilevel"/>
    <w:tmpl w:val="65220FFE"/>
    <w:lvl w:ilvl="0" w:tentative="0">
      <w:start w:val="1"/>
      <w:numFmt w:val="decimal"/>
      <w:lvlText w:val="%1."/>
      <w:lvlJc w:val="left"/>
      <w:pPr>
        <w:ind w:left="213" w:hanging="269"/>
      </w:pPr>
      <w:rPr>
        <w:rFonts w:hint="default" w:ascii="Times New Roman" w:hAnsi="Times New Roman" w:eastAsia="Times New Roman" w:cs="Times New Roman"/>
        <w:w w:val="100"/>
        <w:sz w:val="24"/>
        <w:szCs w:val="24"/>
        <w:lang w:val="uk-UA" w:eastAsia="en-US" w:bidi="ar-SA"/>
      </w:rPr>
    </w:lvl>
    <w:lvl w:ilvl="1" w:tentative="0">
      <w:start w:val="0"/>
      <w:numFmt w:val="bullet"/>
      <w:lvlText w:val="•"/>
      <w:lvlJc w:val="left"/>
      <w:pPr>
        <w:ind w:left="1264" w:hanging="269"/>
      </w:pPr>
      <w:rPr>
        <w:rFonts w:hint="default"/>
        <w:lang w:val="uk-UA" w:eastAsia="en-US" w:bidi="ar-SA"/>
      </w:rPr>
    </w:lvl>
    <w:lvl w:ilvl="2" w:tentative="0">
      <w:start w:val="0"/>
      <w:numFmt w:val="bullet"/>
      <w:lvlText w:val="•"/>
      <w:lvlJc w:val="left"/>
      <w:pPr>
        <w:ind w:left="2308" w:hanging="269"/>
      </w:pPr>
      <w:rPr>
        <w:rFonts w:hint="default"/>
        <w:lang w:val="uk-UA" w:eastAsia="en-US" w:bidi="ar-SA"/>
      </w:rPr>
    </w:lvl>
    <w:lvl w:ilvl="3" w:tentative="0">
      <w:start w:val="0"/>
      <w:numFmt w:val="bullet"/>
      <w:lvlText w:val="•"/>
      <w:lvlJc w:val="left"/>
      <w:pPr>
        <w:ind w:left="3353" w:hanging="269"/>
      </w:pPr>
      <w:rPr>
        <w:rFonts w:hint="default"/>
        <w:lang w:val="uk-UA" w:eastAsia="en-US" w:bidi="ar-SA"/>
      </w:rPr>
    </w:lvl>
    <w:lvl w:ilvl="4" w:tentative="0">
      <w:start w:val="0"/>
      <w:numFmt w:val="bullet"/>
      <w:lvlText w:val="•"/>
      <w:lvlJc w:val="left"/>
      <w:pPr>
        <w:ind w:left="4397" w:hanging="269"/>
      </w:pPr>
      <w:rPr>
        <w:rFonts w:hint="default"/>
        <w:lang w:val="uk-UA" w:eastAsia="en-US" w:bidi="ar-SA"/>
      </w:rPr>
    </w:lvl>
    <w:lvl w:ilvl="5" w:tentative="0">
      <w:start w:val="0"/>
      <w:numFmt w:val="bullet"/>
      <w:lvlText w:val="•"/>
      <w:lvlJc w:val="left"/>
      <w:pPr>
        <w:ind w:left="5442" w:hanging="269"/>
      </w:pPr>
      <w:rPr>
        <w:rFonts w:hint="default"/>
        <w:lang w:val="uk-UA" w:eastAsia="en-US" w:bidi="ar-SA"/>
      </w:rPr>
    </w:lvl>
    <w:lvl w:ilvl="6" w:tentative="0">
      <w:start w:val="0"/>
      <w:numFmt w:val="bullet"/>
      <w:lvlText w:val="•"/>
      <w:lvlJc w:val="left"/>
      <w:pPr>
        <w:ind w:left="6486" w:hanging="269"/>
      </w:pPr>
      <w:rPr>
        <w:rFonts w:hint="default"/>
        <w:lang w:val="uk-UA" w:eastAsia="en-US" w:bidi="ar-SA"/>
      </w:rPr>
    </w:lvl>
    <w:lvl w:ilvl="7" w:tentative="0">
      <w:start w:val="0"/>
      <w:numFmt w:val="bullet"/>
      <w:lvlText w:val="•"/>
      <w:lvlJc w:val="left"/>
      <w:pPr>
        <w:ind w:left="7530" w:hanging="269"/>
      </w:pPr>
      <w:rPr>
        <w:rFonts w:hint="default"/>
        <w:lang w:val="uk-UA" w:eastAsia="en-US" w:bidi="ar-SA"/>
      </w:rPr>
    </w:lvl>
    <w:lvl w:ilvl="8" w:tentative="0">
      <w:start w:val="0"/>
      <w:numFmt w:val="bullet"/>
      <w:lvlText w:val="•"/>
      <w:lvlJc w:val="left"/>
      <w:pPr>
        <w:ind w:left="8575" w:hanging="269"/>
      </w:pPr>
      <w:rPr>
        <w:rFonts w:hint="default"/>
        <w:lang w:val="uk-UA" w:eastAsia="en-US" w:bidi="ar-SA"/>
      </w:rPr>
    </w:lvl>
  </w:abstractNum>
  <w:abstractNum w:abstractNumId="11">
    <w:nsid w:val="6DB04E13"/>
    <w:multiLevelType w:val="multilevel"/>
    <w:tmpl w:val="6DB04E13"/>
    <w:lvl w:ilvl="0" w:tentative="0">
      <w:start w:val="0"/>
      <w:numFmt w:val="bullet"/>
      <w:lvlText w:val="-"/>
      <w:lvlJc w:val="left"/>
      <w:pPr>
        <w:ind w:left="720" w:hanging="360"/>
      </w:pPr>
      <w:rPr>
        <w:rFonts w:hint="default" w:ascii="Times New Roman" w:hAnsi="Times New Roman" w:eastAsia="Times New Roman" w:cs="Times New Roman"/>
        <w:w w:val="99"/>
        <w:sz w:val="24"/>
        <w:szCs w:val="24"/>
        <w:lang w:val="uk-UA"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16B53CD"/>
    <w:multiLevelType w:val="multilevel"/>
    <w:tmpl w:val="716B53CD"/>
    <w:lvl w:ilvl="0" w:tentative="0">
      <w:start w:val="1"/>
      <w:numFmt w:val="decimal"/>
      <w:lvlText w:val="%1."/>
      <w:lvlJc w:val="left"/>
      <w:pPr>
        <w:ind w:left="1070" w:hanging="360"/>
      </w:pPr>
      <w:rPr>
        <w:color w:val="000000"/>
      </w:rPr>
    </w:lvl>
    <w:lvl w:ilvl="1" w:tentative="0">
      <w:start w:val="5"/>
      <w:numFmt w:val="decimal"/>
      <w:lvlText w:val="%1.%2."/>
      <w:lvlJc w:val="left"/>
      <w:pPr>
        <w:ind w:left="1070" w:hanging="360"/>
      </w:pPr>
    </w:lvl>
    <w:lvl w:ilvl="2" w:tentative="0">
      <w:start w:val="1"/>
      <w:numFmt w:val="decimal"/>
      <w:lvlText w:val="%1.%2.%3."/>
      <w:lvlJc w:val="left"/>
      <w:pPr>
        <w:ind w:left="1430" w:hanging="720"/>
      </w:pPr>
    </w:lvl>
    <w:lvl w:ilvl="3" w:tentative="0">
      <w:start w:val="1"/>
      <w:numFmt w:val="decimal"/>
      <w:lvlText w:val="%1.%2.%3.%4."/>
      <w:lvlJc w:val="left"/>
      <w:pPr>
        <w:ind w:left="1430" w:hanging="720"/>
      </w:pPr>
    </w:lvl>
    <w:lvl w:ilvl="4" w:tentative="0">
      <w:start w:val="1"/>
      <w:numFmt w:val="decimal"/>
      <w:lvlText w:val="%1.%2.%3.%4.%5."/>
      <w:lvlJc w:val="left"/>
      <w:pPr>
        <w:ind w:left="1790" w:hanging="1080"/>
      </w:pPr>
    </w:lvl>
    <w:lvl w:ilvl="5" w:tentative="0">
      <w:start w:val="1"/>
      <w:numFmt w:val="decimal"/>
      <w:lvlText w:val="%1.%2.%3.%4.%5.%6."/>
      <w:lvlJc w:val="left"/>
      <w:pPr>
        <w:ind w:left="1790" w:hanging="1080"/>
      </w:pPr>
    </w:lvl>
    <w:lvl w:ilvl="6" w:tentative="0">
      <w:start w:val="1"/>
      <w:numFmt w:val="decimal"/>
      <w:lvlText w:val="%1.%2.%3.%4.%5.%6.%7."/>
      <w:lvlJc w:val="left"/>
      <w:pPr>
        <w:ind w:left="2150" w:hanging="1440"/>
      </w:pPr>
    </w:lvl>
    <w:lvl w:ilvl="7" w:tentative="0">
      <w:start w:val="1"/>
      <w:numFmt w:val="decimal"/>
      <w:lvlText w:val="%1.%2.%3.%4.%5.%6.%7.%8."/>
      <w:lvlJc w:val="left"/>
      <w:pPr>
        <w:ind w:left="2150" w:hanging="1440"/>
      </w:pPr>
    </w:lvl>
    <w:lvl w:ilvl="8" w:tentative="0">
      <w:start w:val="1"/>
      <w:numFmt w:val="decimal"/>
      <w:lvlText w:val="%1.%2.%3.%4.%5.%6.%7.%8.%9."/>
      <w:lvlJc w:val="left"/>
      <w:pPr>
        <w:ind w:left="2510" w:hanging="1800"/>
      </w:pPr>
    </w:lvl>
  </w:abstractNum>
  <w:abstractNum w:abstractNumId="13">
    <w:nsid w:val="7E333A13"/>
    <w:multiLevelType w:val="multilevel"/>
    <w:tmpl w:val="7E333A13"/>
    <w:lvl w:ilvl="0" w:tentative="0">
      <w:start w:val="1"/>
      <w:numFmt w:val="decimal"/>
      <w:lvlText w:val="%1."/>
      <w:lvlJc w:val="left"/>
      <w:pPr>
        <w:ind w:left="213" w:hanging="245"/>
      </w:pPr>
      <w:rPr>
        <w:rFonts w:hint="default" w:ascii="Times New Roman" w:hAnsi="Times New Roman" w:eastAsia="Times New Roman" w:cs="Times New Roman"/>
        <w:b w:val="0"/>
        <w:bCs w:val="0"/>
        <w:w w:val="100"/>
        <w:sz w:val="24"/>
        <w:szCs w:val="24"/>
        <w:lang w:val="uk-UA" w:eastAsia="en-US" w:bidi="ar-SA"/>
      </w:rPr>
    </w:lvl>
    <w:lvl w:ilvl="1" w:tentative="0">
      <w:start w:val="1"/>
      <w:numFmt w:val="decimal"/>
      <w:lvlText w:val="%1.%2"/>
      <w:lvlJc w:val="left"/>
      <w:pPr>
        <w:ind w:left="213" w:hanging="365"/>
      </w:pPr>
      <w:rPr>
        <w:rFonts w:hint="default" w:ascii="Times New Roman" w:hAnsi="Times New Roman" w:eastAsia="Times New Roman" w:cs="Times New Roman"/>
        <w:b/>
        <w:bCs/>
        <w:w w:val="100"/>
        <w:sz w:val="24"/>
        <w:szCs w:val="24"/>
        <w:lang w:val="uk-UA" w:eastAsia="en-US" w:bidi="ar-SA"/>
      </w:rPr>
    </w:lvl>
    <w:lvl w:ilvl="2" w:tentative="0">
      <w:start w:val="0"/>
      <w:numFmt w:val="bullet"/>
      <w:lvlText w:val="•"/>
      <w:lvlJc w:val="left"/>
      <w:pPr>
        <w:ind w:left="2308" w:hanging="365"/>
      </w:pPr>
      <w:rPr>
        <w:rFonts w:hint="default"/>
        <w:lang w:val="uk-UA" w:eastAsia="en-US" w:bidi="ar-SA"/>
      </w:rPr>
    </w:lvl>
    <w:lvl w:ilvl="3" w:tentative="0">
      <w:start w:val="0"/>
      <w:numFmt w:val="bullet"/>
      <w:lvlText w:val="•"/>
      <w:lvlJc w:val="left"/>
      <w:pPr>
        <w:ind w:left="3353" w:hanging="365"/>
      </w:pPr>
      <w:rPr>
        <w:rFonts w:hint="default"/>
        <w:lang w:val="uk-UA" w:eastAsia="en-US" w:bidi="ar-SA"/>
      </w:rPr>
    </w:lvl>
    <w:lvl w:ilvl="4" w:tentative="0">
      <w:start w:val="0"/>
      <w:numFmt w:val="bullet"/>
      <w:lvlText w:val="•"/>
      <w:lvlJc w:val="left"/>
      <w:pPr>
        <w:ind w:left="4397" w:hanging="365"/>
      </w:pPr>
      <w:rPr>
        <w:rFonts w:hint="default"/>
        <w:lang w:val="uk-UA" w:eastAsia="en-US" w:bidi="ar-SA"/>
      </w:rPr>
    </w:lvl>
    <w:lvl w:ilvl="5" w:tentative="0">
      <w:start w:val="0"/>
      <w:numFmt w:val="bullet"/>
      <w:lvlText w:val="•"/>
      <w:lvlJc w:val="left"/>
      <w:pPr>
        <w:ind w:left="5442" w:hanging="365"/>
      </w:pPr>
      <w:rPr>
        <w:rFonts w:hint="default"/>
        <w:lang w:val="uk-UA" w:eastAsia="en-US" w:bidi="ar-SA"/>
      </w:rPr>
    </w:lvl>
    <w:lvl w:ilvl="6" w:tentative="0">
      <w:start w:val="0"/>
      <w:numFmt w:val="bullet"/>
      <w:lvlText w:val="•"/>
      <w:lvlJc w:val="left"/>
      <w:pPr>
        <w:ind w:left="6486" w:hanging="365"/>
      </w:pPr>
      <w:rPr>
        <w:rFonts w:hint="default"/>
        <w:lang w:val="uk-UA" w:eastAsia="en-US" w:bidi="ar-SA"/>
      </w:rPr>
    </w:lvl>
    <w:lvl w:ilvl="7" w:tentative="0">
      <w:start w:val="0"/>
      <w:numFmt w:val="bullet"/>
      <w:lvlText w:val="•"/>
      <w:lvlJc w:val="left"/>
      <w:pPr>
        <w:ind w:left="7530" w:hanging="365"/>
      </w:pPr>
      <w:rPr>
        <w:rFonts w:hint="default"/>
        <w:lang w:val="uk-UA" w:eastAsia="en-US" w:bidi="ar-SA"/>
      </w:rPr>
    </w:lvl>
    <w:lvl w:ilvl="8" w:tentative="0">
      <w:start w:val="0"/>
      <w:numFmt w:val="bullet"/>
      <w:lvlText w:val="•"/>
      <w:lvlJc w:val="left"/>
      <w:pPr>
        <w:ind w:left="8575" w:hanging="365"/>
      </w:pPr>
      <w:rPr>
        <w:rFonts w:hint="default"/>
        <w:lang w:val="uk-UA" w:eastAsia="en-US" w:bidi="ar-SA"/>
      </w:rPr>
    </w:lvl>
  </w:abstractNum>
  <w:num w:numId="1">
    <w:abstractNumId w:val="12"/>
  </w:num>
  <w:num w:numId="2">
    <w:abstractNumId w:val="1"/>
  </w:num>
  <w:num w:numId="3">
    <w:abstractNumId w:val="9"/>
  </w:num>
  <w:num w:numId="4">
    <w:abstractNumId w:val="3"/>
  </w:num>
  <w:num w:numId="5">
    <w:abstractNumId w:val="0"/>
  </w:num>
  <w:num w:numId="6">
    <w:abstractNumId w:val="2"/>
  </w:num>
  <w:num w:numId="7">
    <w:abstractNumId w:val="7"/>
  </w:num>
  <w:num w:numId="8">
    <w:abstractNumId w:val="6"/>
  </w:num>
  <w:num w:numId="9">
    <w:abstractNumId w:val="11"/>
  </w:num>
  <w:num w:numId="10">
    <w:abstractNumId w:val="4"/>
  </w:num>
  <w:num w:numId="11">
    <w:abstractNumId w:val="10"/>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F0"/>
    <w:rsid w:val="000216CF"/>
    <w:rsid w:val="00037611"/>
    <w:rsid w:val="00043FA1"/>
    <w:rsid w:val="00050EAD"/>
    <w:rsid w:val="000559EB"/>
    <w:rsid w:val="00070394"/>
    <w:rsid w:val="00072545"/>
    <w:rsid w:val="0008444F"/>
    <w:rsid w:val="000A1D4B"/>
    <w:rsid w:val="000B72F8"/>
    <w:rsid w:val="000C4046"/>
    <w:rsid w:val="000C6945"/>
    <w:rsid w:val="000C74C7"/>
    <w:rsid w:val="000C7CAF"/>
    <w:rsid w:val="000D2F58"/>
    <w:rsid w:val="000F3C85"/>
    <w:rsid w:val="001137C1"/>
    <w:rsid w:val="0012344F"/>
    <w:rsid w:val="00123879"/>
    <w:rsid w:val="00127A81"/>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C0DAE"/>
    <w:rsid w:val="001D36C3"/>
    <w:rsid w:val="001E37AB"/>
    <w:rsid w:val="001F0853"/>
    <w:rsid w:val="001F7C52"/>
    <w:rsid w:val="00213170"/>
    <w:rsid w:val="00223C0D"/>
    <w:rsid w:val="00235A3B"/>
    <w:rsid w:val="00250475"/>
    <w:rsid w:val="00270170"/>
    <w:rsid w:val="00275FB8"/>
    <w:rsid w:val="00276F00"/>
    <w:rsid w:val="00286BEC"/>
    <w:rsid w:val="002876C0"/>
    <w:rsid w:val="0029222C"/>
    <w:rsid w:val="00292B6C"/>
    <w:rsid w:val="002956A3"/>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1679B"/>
    <w:rsid w:val="003336E1"/>
    <w:rsid w:val="00335E58"/>
    <w:rsid w:val="00344787"/>
    <w:rsid w:val="00346B7B"/>
    <w:rsid w:val="00347FD7"/>
    <w:rsid w:val="003506F5"/>
    <w:rsid w:val="003536BE"/>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93B7E"/>
    <w:rsid w:val="004B2C53"/>
    <w:rsid w:val="004C2F93"/>
    <w:rsid w:val="004C61A1"/>
    <w:rsid w:val="004C712B"/>
    <w:rsid w:val="004C7B3F"/>
    <w:rsid w:val="004D418C"/>
    <w:rsid w:val="004F2163"/>
    <w:rsid w:val="004F3CA1"/>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81CCB"/>
    <w:rsid w:val="00582B3F"/>
    <w:rsid w:val="005836E3"/>
    <w:rsid w:val="00586DD0"/>
    <w:rsid w:val="00591404"/>
    <w:rsid w:val="0059290F"/>
    <w:rsid w:val="005A5D9B"/>
    <w:rsid w:val="005B421C"/>
    <w:rsid w:val="005C024B"/>
    <w:rsid w:val="005C6E49"/>
    <w:rsid w:val="005E4897"/>
    <w:rsid w:val="005F5905"/>
    <w:rsid w:val="006109FE"/>
    <w:rsid w:val="00613BC0"/>
    <w:rsid w:val="006146EA"/>
    <w:rsid w:val="00616BDD"/>
    <w:rsid w:val="00623D6D"/>
    <w:rsid w:val="006266A1"/>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503AE"/>
    <w:rsid w:val="00750E9A"/>
    <w:rsid w:val="00751E9E"/>
    <w:rsid w:val="00765EB8"/>
    <w:rsid w:val="0077304B"/>
    <w:rsid w:val="007745B5"/>
    <w:rsid w:val="0078280E"/>
    <w:rsid w:val="007900AA"/>
    <w:rsid w:val="00794CA6"/>
    <w:rsid w:val="007A05E1"/>
    <w:rsid w:val="007C611C"/>
    <w:rsid w:val="007E1BAA"/>
    <w:rsid w:val="007E26CE"/>
    <w:rsid w:val="007E7D46"/>
    <w:rsid w:val="00802307"/>
    <w:rsid w:val="00804F4B"/>
    <w:rsid w:val="00823798"/>
    <w:rsid w:val="0083005D"/>
    <w:rsid w:val="008331DD"/>
    <w:rsid w:val="00834EE9"/>
    <w:rsid w:val="008476A7"/>
    <w:rsid w:val="008660DF"/>
    <w:rsid w:val="008A62A9"/>
    <w:rsid w:val="008C4E27"/>
    <w:rsid w:val="008C77A5"/>
    <w:rsid w:val="008D6561"/>
    <w:rsid w:val="008E0A5A"/>
    <w:rsid w:val="008F02F9"/>
    <w:rsid w:val="008F2C83"/>
    <w:rsid w:val="008F3931"/>
    <w:rsid w:val="008F5940"/>
    <w:rsid w:val="00906EC1"/>
    <w:rsid w:val="00913527"/>
    <w:rsid w:val="00914CDF"/>
    <w:rsid w:val="009155FF"/>
    <w:rsid w:val="009238E0"/>
    <w:rsid w:val="009423C6"/>
    <w:rsid w:val="00942EB1"/>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92BB4"/>
    <w:rsid w:val="00AA350A"/>
    <w:rsid w:val="00AB0417"/>
    <w:rsid w:val="00AB13A5"/>
    <w:rsid w:val="00AB5698"/>
    <w:rsid w:val="00AB7091"/>
    <w:rsid w:val="00AC7785"/>
    <w:rsid w:val="00AD4127"/>
    <w:rsid w:val="00AE1C7A"/>
    <w:rsid w:val="00AE3D3D"/>
    <w:rsid w:val="00AE48ED"/>
    <w:rsid w:val="00AF0FB9"/>
    <w:rsid w:val="00AF63D7"/>
    <w:rsid w:val="00B308D7"/>
    <w:rsid w:val="00B345BD"/>
    <w:rsid w:val="00B35160"/>
    <w:rsid w:val="00B477D1"/>
    <w:rsid w:val="00B80350"/>
    <w:rsid w:val="00B86331"/>
    <w:rsid w:val="00B91217"/>
    <w:rsid w:val="00BA280B"/>
    <w:rsid w:val="00BB5782"/>
    <w:rsid w:val="00BC20C6"/>
    <w:rsid w:val="00BC39F7"/>
    <w:rsid w:val="00BD0E16"/>
    <w:rsid w:val="00BD2122"/>
    <w:rsid w:val="00BE0E5F"/>
    <w:rsid w:val="00BF54B2"/>
    <w:rsid w:val="00C04573"/>
    <w:rsid w:val="00C1737F"/>
    <w:rsid w:val="00C26286"/>
    <w:rsid w:val="00C4480F"/>
    <w:rsid w:val="00C46174"/>
    <w:rsid w:val="00C46972"/>
    <w:rsid w:val="00C52407"/>
    <w:rsid w:val="00C55AAF"/>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59BE"/>
    <w:rsid w:val="00D66EA1"/>
    <w:rsid w:val="00D74741"/>
    <w:rsid w:val="00D90E81"/>
    <w:rsid w:val="00D92C53"/>
    <w:rsid w:val="00DA4C9B"/>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3F62"/>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457C"/>
    <w:rsid w:val="00FA4CF4"/>
    <w:rsid w:val="00FA5A1B"/>
    <w:rsid w:val="00FB2C9D"/>
    <w:rsid w:val="00FB6D19"/>
    <w:rsid w:val="00FD167D"/>
    <w:rsid w:val="00FE09F8"/>
    <w:rsid w:val="00FF5614"/>
    <w:rsid w:val="00FF5B40"/>
    <w:rsid w:val="2F9A0818"/>
    <w:rsid w:val="47E52BB3"/>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uk-UA" w:eastAsia="en-US" w:bidi="ar-SA"/>
    </w:rPr>
  </w:style>
  <w:style w:type="paragraph" w:styleId="2">
    <w:name w:val="heading 1"/>
    <w:basedOn w:val="1"/>
    <w:link w:val="16"/>
    <w:qFormat/>
    <w:uiPriority w:val="9"/>
    <w:pPr>
      <w:ind w:left="1063"/>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Hyperlink"/>
    <w:basedOn w:val="3"/>
    <w:unhideWhenUsed/>
    <w:qFormat/>
    <w:uiPriority w:val="99"/>
    <w:rPr>
      <w:color w:val="0563C1" w:themeColor="hyperlink"/>
      <w:u w:val="single"/>
      <w14:textFill>
        <w14:solidFill>
          <w14:schemeClr w14:val="hlink"/>
        </w14:solidFill>
      </w14:textFill>
    </w:rPr>
  </w:style>
  <w:style w:type="paragraph" w:styleId="7">
    <w:name w:val="Balloon Text"/>
    <w:basedOn w:val="1"/>
    <w:link w:val="22"/>
    <w:semiHidden/>
    <w:unhideWhenUsed/>
    <w:qFormat/>
    <w:uiPriority w:val="99"/>
    <w:rPr>
      <w:rFonts w:ascii="Segoe UI" w:hAnsi="Segoe UI" w:cs="Segoe UI"/>
      <w:sz w:val="18"/>
      <w:szCs w:val="18"/>
    </w:rPr>
  </w:style>
  <w:style w:type="paragraph" w:styleId="8">
    <w:name w:val="annotation text"/>
    <w:basedOn w:val="1"/>
    <w:link w:val="31"/>
    <w:unhideWhenUsed/>
    <w:qFormat/>
    <w:uiPriority w:val="99"/>
    <w:pPr>
      <w:widowControl/>
      <w:autoSpaceDE/>
      <w:autoSpaceDN/>
      <w:spacing w:after="200"/>
    </w:pPr>
    <w:rPr>
      <w:rFonts w:ascii="Calibri" w:hAnsi="Calibri" w:eastAsia="Calibri"/>
      <w:sz w:val="20"/>
      <w:szCs w:val="20"/>
    </w:rPr>
  </w:style>
  <w:style w:type="paragraph" w:styleId="9">
    <w:name w:val="annotation subject"/>
    <w:basedOn w:val="8"/>
    <w:next w:val="8"/>
    <w:link w:val="32"/>
    <w:semiHidden/>
    <w:unhideWhenUsed/>
    <w:qFormat/>
    <w:uiPriority w:val="99"/>
    <w:rPr>
      <w:b/>
      <w:bCs/>
    </w:rPr>
  </w:style>
  <w:style w:type="paragraph" w:styleId="10">
    <w:name w:val="header"/>
    <w:basedOn w:val="1"/>
    <w:link w:val="33"/>
    <w:semiHidden/>
    <w:unhideWhenUsed/>
    <w:qFormat/>
    <w:uiPriority w:val="99"/>
    <w:pPr>
      <w:widowControl/>
      <w:tabs>
        <w:tab w:val="center" w:pos="4677"/>
        <w:tab w:val="right" w:pos="9355"/>
      </w:tabs>
      <w:autoSpaceDE/>
      <w:autoSpaceDN/>
    </w:pPr>
    <w:rPr>
      <w:rFonts w:ascii="Calibri" w:hAnsi="Calibri" w:eastAsia="Calibri"/>
    </w:rPr>
  </w:style>
  <w:style w:type="paragraph" w:styleId="11">
    <w:name w:val="Body Text"/>
    <w:basedOn w:val="1"/>
    <w:link w:val="17"/>
    <w:qFormat/>
    <w:uiPriority w:val="1"/>
    <w:pPr>
      <w:ind w:left="213"/>
    </w:pPr>
    <w:rPr>
      <w:sz w:val="24"/>
      <w:szCs w:val="24"/>
    </w:rPr>
  </w:style>
  <w:style w:type="paragraph" w:styleId="12">
    <w:name w:val="Title"/>
    <w:basedOn w:val="1"/>
    <w:link w:val="18"/>
    <w:qFormat/>
    <w:uiPriority w:val="10"/>
    <w:pPr>
      <w:ind w:left="881" w:right="631"/>
      <w:jc w:val="center"/>
    </w:pPr>
    <w:rPr>
      <w:sz w:val="32"/>
      <w:szCs w:val="32"/>
    </w:rPr>
  </w:style>
  <w:style w:type="paragraph" w:styleId="13">
    <w:name w:val="footer"/>
    <w:basedOn w:val="1"/>
    <w:link w:val="34"/>
    <w:semiHidden/>
    <w:unhideWhenUsed/>
    <w:qFormat/>
    <w:uiPriority w:val="99"/>
    <w:pPr>
      <w:widowControl/>
      <w:tabs>
        <w:tab w:val="center" w:pos="4677"/>
        <w:tab w:val="right" w:pos="9355"/>
      </w:tabs>
      <w:autoSpaceDE/>
      <w:autoSpaceDN/>
    </w:pPr>
    <w:rPr>
      <w:rFonts w:ascii="Calibri" w:hAnsi="Calibri" w:eastAsia="Calibri"/>
    </w:rPr>
  </w:style>
  <w:style w:type="paragraph" w:styleId="14">
    <w:name w:val="Normal (Web)"/>
    <w:basedOn w:val="1"/>
    <w:semiHidden/>
    <w:unhideWhenUsed/>
    <w:qFormat/>
    <w:uiPriority w:val="99"/>
    <w:pPr>
      <w:widowControl/>
      <w:autoSpaceDE/>
      <w:autoSpaceDN/>
      <w:spacing w:before="100" w:beforeAutospacing="1" w:after="100" w:afterAutospacing="1"/>
    </w:pPr>
    <w:rPr>
      <w:sz w:val="24"/>
      <w:szCs w:val="24"/>
      <w:lang w:eastAsia="zh-TW"/>
    </w:rPr>
  </w:style>
  <w:style w:type="table" w:styleId="1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Заголовок 1 Знак"/>
    <w:basedOn w:val="3"/>
    <w:link w:val="2"/>
    <w:qFormat/>
    <w:uiPriority w:val="9"/>
    <w:rPr>
      <w:rFonts w:ascii="Times New Roman" w:hAnsi="Times New Roman" w:eastAsia="Times New Roman" w:cs="Times New Roman"/>
      <w:b/>
      <w:bCs/>
      <w:sz w:val="24"/>
      <w:szCs w:val="24"/>
      <w:lang w:val="uk-UA" w:eastAsia="en-US"/>
    </w:rPr>
  </w:style>
  <w:style w:type="character" w:customStyle="1" w:styleId="17">
    <w:name w:val="Основной текст Знак"/>
    <w:basedOn w:val="3"/>
    <w:link w:val="11"/>
    <w:qFormat/>
    <w:uiPriority w:val="1"/>
    <w:rPr>
      <w:rFonts w:ascii="Times New Roman" w:hAnsi="Times New Roman" w:eastAsia="Times New Roman" w:cs="Times New Roman"/>
      <w:sz w:val="24"/>
      <w:szCs w:val="24"/>
      <w:lang w:val="uk-UA" w:eastAsia="en-US"/>
    </w:rPr>
  </w:style>
  <w:style w:type="character" w:customStyle="1" w:styleId="18">
    <w:name w:val="Заголовок Знак"/>
    <w:basedOn w:val="3"/>
    <w:link w:val="12"/>
    <w:uiPriority w:val="10"/>
    <w:rPr>
      <w:rFonts w:ascii="Times New Roman" w:hAnsi="Times New Roman" w:eastAsia="Times New Roman" w:cs="Times New Roman"/>
      <w:sz w:val="32"/>
      <w:szCs w:val="32"/>
      <w:lang w:val="uk-UA" w:eastAsia="en-US"/>
    </w:rPr>
  </w:style>
  <w:style w:type="paragraph" w:styleId="19">
    <w:name w:val="List Paragraph"/>
    <w:basedOn w:val="1"/>
    <w:link w:val="35"/>
    <w:qFormat/>
    <w:uiPriority w:val="34"/>
    <w:pPr>
      <w:ind w:left="213" w:firstLine="710"/>
      <w:jc w:val="both"/>
    </w:pPr>
  </w:style>
  <w:style w:type="paragraph" w:customStyle="1" w:styleId="20">
    <w:name w:val="Table Paragraph"/>
    <w:basedOn w:val="1"/>
    <w:qFormat/>
    <w:uiPriority w:val="1"/>
    <w:pPr>
      <w:spacing w:line="217" w:lineRule="exact"/>
    </w:pPr>
  </w:style>
  <w:style w:type="character" w:customStyle="1" w:styleId="21">
    <w:name w:val="Неразрешенное упоминание1"/>
    <w:basedOn w:val="3"/>
    <w:semiHidden/>
    <w:unhideWhenUsed/>
    <w:qFormat/>
    <w:uiPriority w:val="99"/>
    <w:rPr>
      <w:color w:val="605E5C"/>
      <w:shd w:val="clear" w:color="auto" w:fill="E1DFDD"/>
    </w:rPr>
  </w:style>
  <w:style w:type="character" w:customStyle="1" w:styleId="22">
    <w:name w:val="Текст выноски Знак"/>
    <w:basedOn w:val="3"/>
    <w:link w:val="7"/>
    <w:semiHidden/>
    <w:qFormat/>
    <w:uiPriority w:val="99"/>
    <w:rPr>
      <w:rFonts w:ascii="Segoe UI" w:hAnsi="Segoe UI" w:eastAsia="Times New Roman" w:cs="Segoe UI"/>
      <w:sz w:val="18"/>
      <w:szCs w:val="18"/>
      <w:lang w:val="uk-UA" w:eastAsia="en-US"/>
    </w:rPr>
  </w:style>
  <w:style w:type="paragraph" w:customStyle="1" w:styleId="23">
    <w:name w:val="rvps2"/>
    <w:basedOn w:val="1"/>
    <w:qFormat/>
    <w:uiPriority w:val="0"/>
    <w:pPr>
      <w:widowControl/>
      <w:autoSpaceDE/>
      <w:autoSpaceDN/>
      <w:spacing w:before="100" w:beforeAutospacing="1" w:after="100" w:afterAutospacing="1"/>
    </w:pPr>
    <w:rPr>
      <w:sz w:val="24"/>
      <w:szCs w:val="24"/>
      <w:lang w:eastAsia="uk-UA"/>
    </w:rPr>
  </w:style>
  <w:style w:type="table" w:customStyle="1" w:styleId="24">
    <w:name w:val="Table Normal"/>
    <w:unhideWhenUsed/>
    <w:qFormat/>
    <w:uiPriority w:val="2"/>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25">
    <w:name w:val="translation-chunk"/>
    <w:basedOn w:val="3"/>
    <w:qFormat/>
    <w:uiPriority w:val="0"/>
  </w:style>
  <w:style w:type="character" w:customStyle="1" w:styleId="26">
    <w:name w:val="apple-tab-span"/>
    <w:basedOn w:val="3"/>
    <w:qFormat/>
    <w:uiPriority w:val="0"/>
  </w:style>
  <w:style w:type="paragraph" w:customStyle="1" w:styleId="27">
    <w:name w:val="Рецензия1"/>
    <w:hidden/>
    <w:semiHidden/>
    <w:qFormat/>
    <w:uiPriority w:val="99"/>
    <w:rPr>
      <w:rFonts w:ascii="Times New Roman" w:hAnsi="Times New Roman" w:eastAsia="Times New Roman" w:cs="Times New Roman"/>
      <w:sz w:val="22"/>
      <w:szCs w:val="22"/>
      <w:lang w:val="uk-UA" w:eastAsia="en-US" w:bidi="ar-SA"/>
    </w:rPr>
  </w:style>
  <w:style w:type="paragraph" w:styleId="28">
    <w:name w:val="No Spacing"/>
    <w:qFormat/>
    <w:uiPriority w:val="99"/>
    <w:rPr>
      <w:rFonts w:ascii="Calibri" w:hAnsi="Calibri" w:eastAsia="Calibri" w:cs="Times New Roman"/>
      <w:sz w:val="22"/>
      <w:szCs w:val="22"/>
      <w:lang w:val="uk-UA" w:eastAsia="en-US" w:bidi="ar-SA"/>
    </w:rPr>
  </w:style>
  <w:style w:type="character" w:customStyle="1" w:styleId="29">
    <w:name w:val="Основной текст (2) + 11;5 pt"/>
    <w:basedOn w:val="3"/>
    <w:qFormat/>
    <w:uiPriority w:val="0"/>
    <w:rPr>
      <w:rFonts w:ascii="Times New Roman" w:hAnsi="Times New Roman" w:eastAsia="Times New Roman" w:cs="Times New Roman"/>
      <w:color w:val="000000"/>
      <w:spacing w:val="0"/>
      <w:w w:val="100"/>
      <w:position w:val="0"/>
      <w:sz w:val="23"/>
      <w:szCs w:val="23"/>
      <w:u w:val="none"/>
      <w:lang w:val="uk-UA" w:eastAsia="uk-UA" w:bidi="uk-UA"/>
    </w:rPr>
  </w:style>
  <w:style w:type="paragraph" w:customStyle="1" w:styleId="30">
    <w:name w:val="docdata"/>
    <w:basedOn w:val="1"/>
    <w:qFormat/>
    <w:uiPriority w:val="0"/>
    <w:pPr>
      <w:widowControl/>
      <w:autoSpaceDE/>
      <w:autoSpaceDN/>
      <w:spacing w:before="100" w:beforeAutospacing="1" w:after="100" w:afterAutospacing="1"/>
    </w:pPr>
    <w:rPr>
      <w:sz w:val="24"/>
      <w:szCs w:val="24"/>
      <w:lang w:eastAsia="uk-UA"/>
    </w:rPr>
  </w:style>
  <w:style w:type="character" w:customStyle="1" w:styleId="31">
    <w:name w:val="Текст примечания Знак"/>
    <w:basedOn w:val="3"/>
    <w:link w:val="8"/>
    <w:qFormat/>
    <w:uiPriority w:val="99"/>
    <w:rPr>
      <w:rFonts w:ascii="Calibri" w:hAnsi="Calibri" w:eastAsia="Calibri" w:cs="Times New Roman"/>
      <w:sz w:val="20"/>
      <w:szCs w:val="20"/>
      <w:lang w:eastAsia="en-US"/>
    </w:rPr>
  </w:style>
  <w:style w:type="character" w:customStyle="1" w:styleId="32">
    <w:name w:val="Тема примечания Знак"/>
    <w:basedOn w:val="31"/>
    <w:link w:val="9"/>
    <w:semiHidden/>
    <w:qFormat/>
    <w:uiPriority w:val="99"/>
    <w:rPr>
      <w:rFonts w:ascii="Calibri" w:hAnsi="Calibri" w:eastAsia="Calibri" w:cs="Times New Roman"/>
      <w:b/>
      <w:bCs/>
      <w:sz w:val="20"/>
      <w:szCs w:val="20"/>
      <w:lang w:eastAsia="en-US"/>
    </w:rPr>
  </w:style>
  <w:style w:type="character" w:customStyle="1" w:styleId="33">
    <w:name w:val="Верхний колонтитул Знак"/>
    <w:basedOn w:val="3"/>
    <w:link w:val="10"/>
    <w:semiHidden/>
    <w:qFormat/>
    <w:uiPriority w:val="99"/>
    <w:rPr>
      <w:rFonts w:ascii="Calibri" w:hAnsi="Calibri" w:eastAsia="Calibri" w:cs="Times New Roman"/>
      <w:lang w:eastAsia="en-US"/>
    </w:rPr>
  </w:style>
  <w:style w:type="character" w:customStyle="1" w:styleId="34">
    <w:name w:val="Нижний колонтитул Знак"/>
    <w:basedOn w:val="3"/>
    <w:link w:val="13"/>
    <w:semiHidden/>
    <w:qFormat/>
    <w:uiPriority w:val="99"/>
    <w:rPr>
      <w:rFonts w:ascii="Calibri" w:hAnsi="Calibri" w:eastAsia="Calibri" w:cs="Times New Roman"/>
      <w:lang w:eastAsia="en-US"/>
    </w:rPr>
  </w:style>
  <w:style w:type="character" w:customStyle="1" w:styleId="35">
    <w:name w:val="Абзац списка Знак"/>
    <w:link w:val="19"/>
    <w:qFormat/>
    <w:locked/>
    <w:uiPriority w:val="34"/>
    <w:rPr>
      <w:rFonts w:ascii="Times New Roman" w:hAnsi="Times New Roman" w:eastAsia="Times New Roman" w:cs="Times New Roman"/>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9806-1551-4887-A53D-B7FC572C5252}">
  <ds:schemaRefs/>
</ds:datastoreItem>
</file>

<file path=docProps/app.xml><?xml version="1.0" encoding="utf-8"?>
<Properties xmlns="http://schemas.openxmlformats.org/officeDocument/2006/extended-properties" xmlns:vt="http://schemas.openxmlformats.org/officeDocument/2006/docPropsVTypes">
  <Template>Normal</Template>
  <Pages>31</Pages>
  <Words>51248</Words>
  <Characters>29212</Characters>
  <Lines>243</Lines>
  <Paragraphs>160</Paragraphs>
  <TotalTime>11</TotalTime>
  <ScaleCrop>false</ScaleCrop>
  <LinksUpToDate>false</LinksUpToDate>
  <CharactersWithSpaces>80300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2022-09-11T20:42:00Z</dcterms:created>
  <dc:creator>Виктория Ковалько</dc:creator>
  <cp:lastModifiedBy>user</cp:lastModifiedBy>
  <cp:lastPrinted>2023-10-05T05:37:00Z</cp:lastPrinted>
  <dcterms:modified xsi:type="dcterms:W3CDTF">2023-12-06T09:19:41Z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76B838BBD2424A36B4CFFD66734399B2_12</vt:lpwstr>
  </property>
</Properties>
</file>