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9D7BDA">
        <w:rPr>
          <w:rFonts w:ascii="Times New Roman" w:hAnsi="Times New Roman" w:cs="Times New Roman"/>
          <w:bCs/>
          <w:i/>
          <w:sz w:val="20"/>
          <w:szCs w:val="20"/>
          <w:lang w:val="uk-UA"/>
        </w:rPr>
        <w:t xml:space="preserve">236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9D7BDA">
        <w:rPr>
          <w:rFonts w:ascii="Times New Roman" w:hAnsi="Times New Roman" w:cs="Times New Roman"/>
          <w:bCs/>
          <w:i/>
          <w:sz w:val="20"/>
          <w:szCs w:val="20"/>
          <w:lang w:val="uk-UA"/>
        </w:rPr>
        <w:t>05.06</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 xml:space="preserve"> послуг:</w:t>
      </w:r>
    </w:p>
    <w:p w:rsidR="00376E97" w:rsidRDefault="00376E97" w:rsidP="00376E97">
      <w:pPr>
        <w:spacing w:after="0" w:line="240" w:lineRule="auto"/>
        <w:jc w:val="center"/>
        <w:rPr>
          <w:rFonts w:ascii="Times New Roman" w:hAnsi="Times New Roman"/>
          <w:sz w:val="28"/>
          <w:szCs w:val="28"/>
          <w:lang w:val="uk-UA"/>
        </w:rPr>
      </w:pPr>
    </w:p>
    <w:p w:rsidR="00376E97" w:rsidRPr="00AE4108" w:rsidRDefault="00376E97" w:rsidP="00376E97">
      <w:pPr>
        <w:spacing w:after="0"/>
        <w:jc w:val="center"/>
        <w:rPr>
          <w:rFonts w:ascii="Times New Roman" w:hAnsi="Times New Roman" w:cs="Times New Roman"/>
          <w:b/>
          <w:bCs/>
          <w:i/>
          <w:sz w:val="28"/>
          <w:szCs w:val="28"/>
          <w:lang w:val="uk-UA"/>
        </w:rPr>
      </w:pPr>
      <w:r w:rsidRPr="00AE4108">
        <w:rPr>
          <w:rFonts w:ascii="Times New Roman" w:hAnsi="Times New Roman" w:cs="Times New Roman"/>
          <w:b/>
          <w:bCs/>
          <w:i/>
          <w:sz w:val="28"/>
          <w:szCs w:val="28"/>
          <w:lang w:val="uk-UA"/>
        </w:rPr>
        <w:t>Страхування автомобілів</w:t>
      </w:r>
    </w:p>
    <w:p w:rsidR="00376E97" w:rsidRPr="0042566C" w:rsidRDefault="00376E97" w:rsidP="00376E97">
      <w:pPr>
        <w:spacing w:after="0"/>
        <w:jc w:val="center"/>
        <w:rPr>
          <w:rFonts w:ascii="Times New Roman" w:hAnsi="Times New Roman" w:cs="Times New Roman"/>
          <w:b/>
          <w:i/>
          <w:sz w:val="28"/>
          <w:szCs w:val="28"/>
          <w:lang w:val="uk-UA"/>
        </w:rPr>
      </w:pPr>
      <w:r w:rsidRPr="00AE4108">
        <w:rPr>
          <w:rFonts w:ascii="Times New Roman" w:hAnsi="Times New Roman" w:cs="Times New Roman"/>
          <w:b/>
          <w:bCs/>
          <w:i/>
          <w:sz w:val="28"/>
          <w:szCs w:val="28"/>
          <w:lang w:val="uk-UA"/>
        </w:rPr>
        <w:t xml:space="preserve">код ДК 021:2015 </w:t>
      </w:r>
      <w:r>
        <w:rPr>
          <w:rFonts w:ascii="Times New Roman" w:hAnsi="Times New Roman" w:cs="Times New Roman"/>
          <w:b/>
          <w:i/>
          <w:sz w:val="28"/>
          <w:szCs w:val="28"/>
        </w:rPr>
        <w:t>–</w:t>
      </w:r>
      <w:r w:rsidRPr="00AE4108">
        <w:rPr>
          <w:rFonts w:ascii="Times New Roman" w:hAnsi="Times New Roman" w:cs="Times New Roman"/>
          <w:b/>
          <w:i/>
          <w:sz w:val="28"/>
          <w:szCs w:val="28"/>
        </w:rPr>
        <w:t xml:space="preserve"> 66514100</w:t>
      </w:r>
      <w:r>
        <w:rPr>
          <w:rFonts w:ascii="Times New Roman" w:hAnsi="Times New Roman" w:cs="Times New Roman"/>
          <w:b/>
          <w:i/>
          <w:sz w:val="28"/>
          <w:szCs w:val="28"/>
          <w:lang w:val="uk-UA"/>
        </w:rPr>
        <w:t xml:space="preserve"> </w:t>
      </w:r>
      <w:r w:rsidRPr="00AE4108">
        <w:rPr>
          <w:rFonts w:ascii="Times New Roman" w:hAnsi="Times New Roman" w:cs="Times New Roman"/>
          <w:b/>
          <w:i/>
          <w:sz w:val="28"/>
          <w:szCs w:val="28"/>
        </w:rPr>
        <w:t>-</w:t>
      </w:r>
      <w:r>
        <w:rPr>
          <w:rFonts w:ascii="Times New Roman" w:hAnsi="Times New Roman" w:cs="Times New Roman"/>
          <w:b/>
          <w:i/>
          <w:sz w:val="28"/>
          <w:szCs w:val="28"/>
          <w:lang w:val="uk-UA"/>
        </w:rPr>
        <w:t xml:space="preserve"> </w:t>
      </w:r>
      <w:r w:rsidRPr="00AE4108">
        <w:rPr>
          <w:rFonts w:ascii="Times New Roman" w:hAnsi="Times New Roman" w:cs="Times New Roman"/>
          <w:b/>
          <w:i/>
          <w:sz w:val="28"/>
          <w:szCs w:val="28"/>
        </w:rPr>
        <w:t>7</w:t>
      </w:r>
      <w:r>
        <w:rPr>
          <w:rFonts w:ascii="Times New Roman" w:hAnsi="Times New Roman" w:cs="Times New Roman"/>
          <w:b/>
          <w:i/>
          <w:sz w:val="28"/>
          <w:szCs w:val="28"/>
          <w:lang w:val="uk-UA"/>
        </w:rPr>
        <w:t xml:space="preserve"> - </w:t>
      </w:r>
      <w:r>
        <w:rPr>
          <w:rFonts w:ascii="Times New Roman" w:hAnsi="Times New Roman" w:cs="Times New Roman"/>
          <w:b/>
          <w:i/>
          <w:sz w:val="28"/>
          <w:szCs w:val="28"/>
        </w:rPr>
        <w:t xml:space="preserve"> </w:t>
      </w:r>
      <w:r>
        <w:rPr>
          <w:rFonts w:ascii="Times New Roman" w:hAnsi="Times New Roman" w:cs="Times New Roman"/>
          <w:b/>
          <w:i/>
          <w:sz w:val="28"/>
          <w:szCs w:val="28"/>
          <w:lang w:val="uk-UA"/>
        </w:rPr>
        <w:t>т</w:t>
      </w:r>
      <w:r w:rsidRPr="00AE4108">
        <w:rPr>
          <w:rFonts w:ascii="Times New Roman" w:hAnsi="Times New Roman" w:cs="Times New Roman"/>
          <w:b/>
          <w:i/>
          <w:sz w:val="28"/>
          <w:szCs w:val="28"/>
        </w:rPr>
        <w:t>ранспортне страхування </w:t>
      </w:r>
    </w:p>
    <w:p w:rsidR="00376E97" w:rsidRPr="00AE4108" w:rsidRDefault="00376E97" w:rsidP="00376E97">
      <w:pPr>
        <w:jc w:val="center"/>
        <w:rPr>
          <w:rFonts w:ascii="Times New Roman" w:hAnsi="Times New Roman" w:cs="Times New Roman"/>
          <w:b/>
          <w:sz w:val="28"/>
          <w:szCs w:val="28"/>
        </w:rPr>
      </w:pPr>
      <w:r w:rsidRPr="00AE4108">
        <w:rPr>
          <w:rFonts w:ascii="Times New Roman" w:hAnsi="Times New Roman" w:cs="Times New Roman"/>
          <w:b/>
          <w:sz w:val="28"/>
          <w:szCs w:val="28"/>
        </w:rPr>
        <w:t>код ДК 021:2015 - 66510000-8 Страхові послуги </w:t>
      </w:r>
      <w:hyperlink r:id="rId8" w:history="1"/>
    </w:p>
    <w:p w:rsidR="00376E97" w:rsidRPr="00AE4108" w:rsidRDefault="00376E97" w:rsidP="00376E97">
      <w:pPr>
        <w:rPr>
          <w:rFonts w:ascii="Times New Roman" w:hAnsi="Times New Roman" w:cs="Times New Roman"/>
          <w:sz w:val="24"/>
          <w:szCs w:val="24"/>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8D62A2" w:rsidRDefault="008D62A2" w:rsidP="008D62A2">
      <w:pPr>
        <w:spacing w:after="0" w:line="240" w:lineRule="auto"/>
        <w:jc w:val="center"/>
        <w:rPr>
          <w:rFonts w:ascii="Times New Roman" w:hAnsi="Times New Roman"/>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962E77" w:rsidRDefault="00962E77">
      <w:pPr>
        <w:rPr>
          <w:sz w:val="20"/>
          <w:szCs w:val="20"/>
          <w:lang w:val="uk-UA"/>
        </w:rPr>
      </w:pPr>
    </w:p>
    <w:p w:rsidR="00962E77" w:rsidRDefault="00962E77">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0C3ACC" w:rsidP="00962E77">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технічних питаннях: Назар Бісовський,</w:t>
            </w:r>
            <w:r w:rsidRPr="00D66A79">
              <w:rPr>
                <w:rFonts w:ascii="Times New Roman" w:hAnsi="Times New Roman" w:cs="Times New Roman"/>
                <w:sz w:val="20"/>
                <w:szCs w:val="20"/>
                <w:lang w:val="uk-UA"/>
              </w:rPr>
              <w:t xml:space="preserve"> тел.</w:t>
            </w:r>
            <w:r>
              <w:rPr>
                <w:rFonts w:ascii="Times New Roman" w:hAnsi="Times New Roman" w:cs="Times New Roman"/>
                <w:sz w:val="20"/>
                <w:szCs w:val="20"/>
                <w:lang w:val="uk-UA"/>
              </w:rPr>
              <w:t xml:space="preserve"> (067) 354-31-90</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AC6012"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EE51FD" w:rsidRDefault="000C3ACC" w:rsidP="000C3ACC">
            <w:pPr>
              <w:spacing w:after="0" w:line="240" w:lineRule="atLeast"/>
              <w:jc w:val="both"/>
              <w:rPr>
                <w:rFonts w:ascii="Times New Roman" w:hAnsi="Times New Roman" w:cs="Times New Roman"/>
                <w:b/>
                <w:sz w:val="20"/>
                <w:szCs w:val="20"/>
                <w:lang w:val="uk-UA"/>
              </w:rPr>
            </w:pPr>
            <w:r w:rsidRPr="00C87EA7">
              <w:rPr>
                <w:rFonts w:ascii="Times New Roman" w:hAnsi="Times New Roman" w:cs="Times New Roman"/>
                <w:b/>
                <w:sz w:val="20"/>
                <w:szCs w:val="20"/>
                <w:lang w:val="uk-UA"/>
              </w:rPr>
              <w:t>«</w:t>
            </w:r>
            <w:r w:rsidRPr="00AC6012">
              <w:rPr>
                <w:rFonts w:ascii="Times New Roman" w:hAnsi="Times New Roman" w:cs="Times New Roman"/>
                <w:b/>
                <w:sz w:val="20"/>
                <w:szCs w:val="20"/>
                <w:lang w:val="uk-UA"/>
              </w:rPr>
              <w:t>Страхування автомобілів</w:t>
            </w:r>
            <w:r w:rsidRPr="00C87EA7">
              <w:rPr>
                <w:rFonts w:ascii="Times New Roman" w:hAnsi="Times New Roman" w:cs="Times New Roman"/>
                <w:b/>
                <w:sz w:val="20"/>
                <w:szCs w:val="20"/>
                <w:lang w:val="uk-UA"/>
              </w:rPr>
              <w:t xml:space="preserve">, </w:t>
            </w:r>
            <w:r w:rsidRPr="00AC6012">
              <w:rPr>
                <w:rFonts w:ascii="Times New Roman" w:hAnsi="Times New Roman" w:cs="Times New Roman"/>
                <w:b/>
                <w:sz w:val="20"/>
                <w:szCs w:val="20"/>
                <w:lang w:val="uk-UA"/>
              </w:rPr>
              <w:t>код ДК 021:2015 – 66514100 - 7 -  транспортне страхування</w:t>
            </w:r>
            <w:r w:rsidRPr="00C87EA7">
              <w:rPr>
                <w:rFonts w:ascii="Times New Roman" w:hAnsi="Times New Roman" w:cs="Times New Roman"/>
                <w:b/>
                <w:sz w:val="20"/>
                <w:szCs w:val="20"/>
                <w:lang w:val="uk-UA"/>
              </w:rPr>
              <w:t xml:space="preserve">», </w:t>
            </w:r>
            <w:r w:rsidRPr="00AC6012">
              <w:rPr>
                <w:rFonts w:ascii="Times New Roman" w:hAnsi="Times New Roman" w:cs="Times New Roman"/>
                <w:b/>
                <w:sz w:val="20"/>
                <w:szCs w:val="20"/>
                <w:lang w:val="uk-UA"/>
              </w:rPr>
              <w:t>код ДК 021:2015 - 66510000-8 Страхові послуги</w:t>
            </w:r>
            <w:r w:rsidR="00AC6012">
              <w:rPr>
                <w:rFonts w:ascii="Times New Roman" w:hAnsi="Times New Roman" w:cs="Times New Roman"/>
                <w:b/>
                <w:sz w:val="20"/>
                <w:szCs w:val="20"/>
                <w:lang w:val="uk-UA"/>
              </w:rPr>
              <w:t>.</w:t>
            </w:r>
            <w:r w:rsidRPr="00C87EA7">
              <w:rPr>
                <w:rFonts w:ascii="Times New Roman" w:hAnsi="Times New Roman" w:cs="Times New Roman"/>
                <w:b/>
                <w:sz w:val="20"/>
                <w:szCs w:val="20"/>
              </w:rPr>
              <w:t> </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EE51FD"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w:t>
            </w:r>
            <w:r w:rsidR="004928B0">
              <w:rPr>
                <w:rFonts w:ascii="Times New Roman" w:hAnsi="Times New Roman" w:cs="Times New Roman"/>
                <w:b/>
                <w:sz w:val="20"/>
                <w:szCs w:val="20"/>
                <w:lang w:val="uk-UA"/>
              </w:rPr>
              <w:t>.</w:t>
            </w:r>
            <w:r>
              <w:rPr>
                <w:rFonts w:ascii="Times New Roman" w:hAnsi="Times New Roman" w:cs="Times New Roman"/>
                <w:b/>
                <w:sz w:val="20"/>
                <w:szCs w:val="20"/>
                <w:lang w:val="uk-UA"/>
              </w:rPr>
              <w:t>12</w:t>
            </w:r>
            <w:r w:rsidR="000477C6">
              <w:rPr>
                <w:rFonts w:ascii="Times New Roman" w:hAnsi="Times New Roman" w:cs="Times New Roman"/>
                <w:b/>
                <w:sz w:val="20"/>
                <w:szCs w:val="20"/>
                <w:lang w:val="uk-UA"/>
              </w:rPr>
              <w:t>.</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4741BE" w:rsidRDefault="004741BE" w:rsidP="00CD3696">
            <w:pPr>
              <w:pStyle w:val="12"/>
              <w:widowControl w:val="0"/>
              <w:spacing w:line="240" w:lineRule="auto"/>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CD3696" w:rsidRPr="00460688" w:rsidRDefault="00CD3696" w:rsidP="00CD3696">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43494C"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0C408E">
              <w:rPr>
                <w:rFonts w:ascii="Times New Roman" w:eastAsia="Times New Roman" w:hAnsi="Times New Roman" w:cs="Times New Roman"/>
                <w:b/>
                <w:sz w:val="20"/>
                <w:szCs w:val="20"/>
                <w:highlight w:val="yellow"/>
                <w:u w:val="single"/>
                <w:lang w:val="uk-UA"/>
              </w:rPr>
              <w:t xml:space="preserve"> 14</w:t>
            </w:r>
            <w:r w:rsidR="00047FDF">
              <w:rPr>
                <w:rFonts w:ascii="Times New Roman" w:eastAsia="Times New Roman" w:hAnsi="Times New Roman" w:cs="Times New Roman"/>
                <w:b/>
                <w:sz w:val="20"/>
                <w:szCs w:val="20"/>
                <w:highlight w:val="yellow"/>
                <w:u w:val="single"/>
                <w:lang w:val="uk-UA"/>
              </w:rPr>
              <w:t>.</w:t>
            </w:r>
            <w:r w:rsidR="000C408E">
              <w:rPr>
                <w:rFonts w:ascii="Times New Roman" w:eastAsia="Times New Roman" w:hAnsi="Times New Roman" w:cs="Times New Roman"/>
                <w:b/>
                <w:sz w:val="20"/>
                <w:szCs w:val="20"/>
                <w:highlight w:val="yellow"/>
                <w:u w:val="single"/>
                <w:lang w:val="uk-UA"/>
              </w:rPr>
              <w:t>06</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43494C"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CD3696" w:rsidRDefault="00CD3696" w:rsidP="00CD3696">
            <w:pPr>
              <w:pStyle w:val="a3"/>
              <w:spacing w:before="0" w:after="0" w:line="0" w:lineRule="atLeast"/>
              <w:jc w:val="both"/>
              <w:textAlignment w:val="baseline"/>
              <w:rPr>
                <w:i/>
                <w:sz w:val="20"/>
                <w:szCs w:val="20"/>
                <w:lang w:val="uk-UA"/>
              </w:rPr>
            </w:pP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lastRenderedPageBreak/>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CD3696">
            <w:pPr>
              <w:spacing w:after="0" w:line="240" w:lineRule="auto"/>
              <w:jc w:val="both"/>
              <w:rPr>
                <w:rFonts w:ascii="Times New Roman" w:eastAsia="Times New Roman" w:hAnsi="Times New Roman" w:cs="Times New Roman"/>
                <w:sz w:val="24"/>
                <w:szCs w:val="24"/>
                <w:lang w:val="uk-UA"/>
              </w:rPr>
            </w:pP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41BE"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w:t>
            </w:r>
            <w:r w:rsidRPr="00F72A54">
              <w:rPr>
                <w:rFonts w:ascii="Times New Roman" w:eastAsia="Times New Roman" w:hAnsi="Times New Roman" w:cs="Times New Roman"/>
                <w:color w:val="000000"/>
                <w:sz w:val="20"/>
                <w:szCs w:val="20"/>
                <w:lang w:val="uk-UA" w:eastAsia="uk-UA"/>
              </w:rPr>
              <w:lastRenderedPageBreak/>
              <w:t xml:space="preserve">подання яких вимагається тендерною документацією, розуміється у </w:t>
            </w:r>
          </w:p>
          <w:p w:rsidR="004741BE" w:rsidRDefault="004741BE" w:rsidP="00F72A54">
            <w:pPr>
              <w:spacing w:after="0" w:line="240" w:lineRule="auto"/>
              <w:jc w:val="both"/>
              <w:rPr>
                <w:rFonts w:ascii="Times New Roman" w:eastAsia="Times New Roman" w:hAnsi="Times New Roman" w:cs="Times New Roman"/>
                <w:color w:val="000000"/>
                <w:sz w:val="20"/>
                <w:szCs w:val="20"/>
                <w:lang w:val="uk-UA" w:eastAsia="uk-UA"/>
              </w:rPr>
            </w:pP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C63AF7">
              <w:rPr>
                <w:rFonts w:ascii="Times New Roman" w:eastAsia="Times New Roman" w:hAnsi="Times New Roman" w:cs="Times New Roman"/>
                <w:color w:val="000000" w:themeColor="text1"/>
                <w:sz w:val="20"/>
                <w:szCs w:val="20"/>
              </w:rPr>
              <w:lastRenderedPageBreak/>
              <w:t>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w:t>
            </w:r>
            <w:r w:rsidRPr="00792048">
              <w:rPr>
                <w:rFonts w:ascii="Times New Roman" w:eastAsia="Times New Roman" w:hAnsi="Times New Roman" w:cs="Times New Roman"/>
                <w:sz w:val="20"/>
                <w:szCs w:val="20"/>
              </w:rPr>
              <w:lastRenderedPageBreak/>
              <w:t xml:space="preserve">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w:t>
            </w:r>
            <w:r w:rsidRPr="00AC3677">
              <w:rPr>
                <w:rFonts w:ascii="Times New Roman" w:eastAsia="Times New Roman" w:hAnsi="Times New Roman" w:cs="Times New Roman"/>
                <w:sz w:val="20"/>
                <w:szCs w:val="20"/>
                <w:highlight w:val="white"/>
              </w:rPr>
              <w:lastRenderedPageBreak/>
              <w:t xml:space="preserve">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6C" w:rsidRDefault="001D036C" w:rsidP="005430DC">
      <w:pPr>
        <w:spacing w:after="0" w:line="240" w:lineRule="auto"/>
      </w:pPr>
      <w:r>
        <w:separator/>
      </w:r>
    </w:p>
  </w:endnote>
  <w:endnote w:type="continuationSeparator" w:id="1">
    <w:p w:rsidR="001D036C" w:rsidRDefault="001D036C"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6C" w:rsidRDefault="001D036C" w:rsidP="005430DC">
      <w:pPr>
        <w:spacing w:after="0" w:line="240" w:lineRule="auto"/>
      </w:pPr>
      <w:r>
        <w:separator/>
      </w:r>
    </w:p>
  </w:footnote>
  <w:footnote w:type="continuationSeparator" w:id="1">
    <w:p w:rsidR="001D036C" w:rsidRDefault="001D036C"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D036C"/>
    <w:rsid w:val="001D6CC6"/>
    <w:rsid w:val="001D78D2"/>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87668"/>
    <w:rsid w:val="00296AFE"/>
    <w:rsid w:val="0029731A"/>
    <w:rsid w:val="002A32E7"/>
    <w:rsid w:val="002A547E"/>
    <w:rsid w:val="002A6B30"/>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1191"/>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8395A"/>
    <w:rsid w:val="003841BD"/>
    <w:rsid w:val="0038421C"/>
    <w:rsid w:val="00384526"/>
    <w:rsid w:val="0039090A"/>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503F"/>
    <w:rsid w:val="008B25D0"/>
    <w:rsid w:val="008B7027"/>
    <w:rsid w:val="008C4164"/>
    <w:rsid w:val="008C444B"/>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1595"/>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6386</Words>
  <Characters>36402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cp:revision>
  <cp:lastPrinted>2023-06-02T11:29:00Z</cp:lastPrinted>
  <dcterms:created xsi:type="dcterms:W3CDTF">2023-05-31T14:32:00Z</dcterms:created>
  <dcterms:modified xsi:type="dcterms:W3CDTF">2023-06-05T06:24:00Z</dcterms:modified>
</cp:coreProperties>
</file>