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033A97">
              <w:rPr>
                <w:rFonts w:ascii="Times New Roman" w:eastAsia="Times New Roman" w:hAnsi="Times New Roman" w:cs="Times New Roman"/>
                <w:b/>
                <w:snapToGrid w:val="0"/>
                <w:sz w:val="28"/>
                <w:szCs w:val="28"/>
                <w:lang w:eastAsia="ru-RU"/>
              </w:rPr>
              <w:t>26</w:t>
            </w:r>
            <w:bookmarkStart w:id="0" w:name="_GoBack"/>
            <w:bookmarkEnd w:id="0"/>
            <w:r w:rsidR="00C75F3E">
              <w:rPr>
                <w:rFonts w:ascii="Times New Roman" w:eastAsia="Times New Roman" w:hAnsi="Times New Roman" w:cs="Times New Roman"/>
                <w:b/>
                <w:snapToGrid w:val="0"/>
                <w:sz w:val="28"/>
                <w:szCs w:val="28"/>
                <w:lang w:eastAsia="ru-RU"/>
              </w:rPr>
              <w:t xml:space="preserve"> » 04. 2024 року № 31</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w:t>
      </w:r>
      <w:r w:rsidR="003D7C41">
        <w:rPr>
          <w:rFonts w:ascii="Times New Roman" w:eastAsia="Times New Roman" w:hAnsi="Times New Roman" w:cs="Times New Roman"/>
          <w:b/>
          <w:sz w:val="28"/>
          <w:szCs w:val="28"/>
          <w:lang w:eastAsia="ru-RU"/>
        </w:rPr>
        <w:t xml:space="preserve"> ТОВАРУ</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3B2641" w:rsidRPr="00C75F3E" w:rsidRDefault="00C27106" w:rsidP="003B2641">
      <w:pPr>
        <w:snapToGrid w:val="0"/>
        <w:spacing w:before="20" w:after="2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C75F3E" w:rsidRPr="00C75F3E">
        <w:rPr>
          <w:rFonts w:ascii="Times New Roman" w:eastAsia="Times New Roman" w:hAnsi="Times New Roman" w:cs="Times New Roman"/>
          <w:b/>
          <w:bCs/>
          <w:i/>
          <w:sz w:val="24"/>
          <w:szCs w:val="24"/>
          <w:lang w:eastAsia="ru-RU"/>
        </w:rPr>
        <w:t xml:space="preserve">Радіальна обертова  форсунка, форсунка для прочистки каналізації «Донна» </w:t>
      </w:r>
      <w:r w:rsidR="00C75F3E" w:rsidRPr="00C75F3E">
        <w:rPr>
          <w:rFonts w:ascii="Times New Roman" w:eastAsia="Times New Roman" w:hAnsi="Times New Roman" w:cs="Times New Roman"/>
          <w:b/>
          <w:i/>
          <w:snapToGrid w:val="0"/>
          <w:sz w:val="24"/>
          <w:szCs w:val="24"/>
          <w:lang w:eastAsia="ru-RU"/>
        </w:rPr>
        <w:t>- (</w:t>
      </w:r>
      <w:r w:rsidR="00C75F3E" w:rsidRPr="00C75F3E">
        <w:rPr>
          <w:rFonts w:ascii="Times New Roman" w:eastAsia="Times New Roman" w:hAnsi="Times New Roman" w:cs="Times New Roman"/>
          <w:b/>
          <w:bCs/>
          <w:i/>
          <w:sz w:val="24"/>
          <w:szCs w:val="24"/>
          <w:lang w:eastAsia="ru-RU"/>
        </w:rPr>
        <w:t>ДК 021:2015: 42950000-0- Частини універсальних машин)</w:t>
      </w:r>
    </w:p>
    <w:p w:rsidR="00C27106" w:rsidRP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0D1B74" w:rsidRDefault="000D1B74" w:rsidP="000D1B74">
      <w:pPr>
        <w:spacing w:before="240" w:after="0" w:line="240" w:lineRule="auto"/>
        <w:rPr>
          <w:rFonts w:ascii="Times New Roman" w:eastAsia="Times New Roman" w:hAnsi="Times New Roman" w:cs="Times New Roman"/>
          <w:b/>
          <w:sz w:val="24"/>
          <w:szCs w:val="24"/>
          <w:lang w:eastAsia="ru-RU"/>
        </w:rPr>
      </w:pPr>
    </w:p>
    <w:p w:rsidR="007D7228" w:rsidRPr="005D78D3" w:rsidRDefault="007D7228" w:rsidP="000D1B74">
      <w:pPr>
        <w:spacing w:before="240" w:after="0" w:line="240" w:lineRule="auto"/>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7D7228" w:rsidRDefault="007D7228"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75F3E" w:rsidRPr="00C75F3E" w:rsidRDefault="00C75F3E" w:rsidP="00C7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sz w:val="24"/>
                <w:szCs w:val="24"/>
              </w:rPr>
            </w:pPr>
            <w:r w:rsidRPr="00C75F3E">
              <w:rPr>
                <w:rFonts w:ascii="Times New Roman" w:eastAsia="Times New Roman" w:hAnsi="Times New Roman" w:cs="Times New Roman"/>
                <w:b/>
                <w:bCs/>
                <w:i/>
                <w:iCs/>
                <w:sz w:val="24"/>
                <w:szCs w:val="24"/>
              </w:rPr>
              <w:t xml:space="preserve">            </w:t>
            </w:r>
            <w:r w:rsidRPr="00C75F3E">
              <w:rPr>
                <w:rFonts w:ascii="Times New Roman" w:eastAsia="Times New Roman" w:hAnsi="Times New Roman" w:cs="Times New Roman"/>
                <w:b/>
                <w:bCs/>
                <w:i/>
                <w:sz w:val="24"/>
                <w:szCs w:val="24"/>
              </w:rPr>
              <w:t xml:space="preserve">Радіальна обертова  форсунка, форсунка для прочистки каналізації «Донна» </w:t>
            </w:r>
            <w:r w:rsidRPr="00C75F3E">
              <w:rPr>
                <w:rFonts w:ascii="Times New Roman" w:eastAsia="Times New Roman" w:hAnsi="Times New Roman" w:cs="Times New Roman"/>
                <w:b/>
                <w:i/>
                <w:sz w:val="24"/>
                <w:szCs w:val="24"/>
              </w:rPr>
              <w:t>- (</w:t>
            </w:r>
            <w:r w:rsidRPr="00C75F3E">
              <w:rPr>
                <w:rFonts w:ascii="Times New Roman" w:eastAsia="Times New Roman" w:hAnsi="Times New Roman" w:cs="Times New Roman"/>
                <w:b/>
                <w:bCs/>
                <w:i/>
                <w:sz w:val="24"/>
                <w:szCs w:val="24"/>
              </w:rPr>
              <w:t>ДК 021:2015: 42950000-0- Частини універсальних машин)</w:t>
            </w:r>
          </w:p>
          <w:p w:rsidR="00C75F3E" w:rsidRPr="00C75F3E" w:rsidRDefault="00C75F3E" w:rsidP="00C7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sz w:val="24"/>
                <w:szCs w:val="24"/>
              </w:rPr>
            </w:pPr>
          </w:p>
          <w:p w:rsidR="00CA799D" w:rsidRPr="00FE4EB8" w:rsidRDefault="00CA799D" w:rsidP="0071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w:t>
            </w:r>
            <w:r w:rsidRPr="00CA799D">
              <w:rPr>
                <w:rFonts w:ascii="Times New Roman" w:eastAsia="Times New Roman" w:hAnsi="Times New Roman" w:cs="Times New Roman"/>
                <w:sz w:val="24"/>
                <w:szCs w:val="24"/>
              </w:rPr>
              <w:lastRenderedPageBreak/>
              <w:t xml:space="preserve">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C75F3E">
              <w:rPr>
                <w:rFonts w:ascii="Times New Roman" w:eastAsia="Times New Roman" w:hAnsi="Times New Roman" w:cs="Times New Roman"/>
                <w:sz w:val="24"/>
                <w:szCs w:val="24"/>
              </w:rPr>
              <w:t>2 шт.</w:t>
            </w:r>
          </w:p>
          <w:p w:rsidR="00FE1A6B" w:rsidRPr="00FE1A6B" w:rsidRDefault="003D7C41" w:rsidP="00FE1A6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постачання</w:t>
            </w:r>
            <w:r w:rsidR="00842552">
              <w:rPr>
                <w:rFonts w:ascii="Times New Roman" w:eastAsia="Times New Roman" w:hAnsi="Times New Roman" w:cs="Times New Roman"/>
                <w:b/>
                <w:sz w:val="24"/>
                <w:szCs w:val="24"/>
              </w:rPr>
              <w:t>:</w:t>
            </w:r>
            <w:r w:rsidR="00FC263D">
              <w:rPr>
                <w:rFonts w:ascii="Times New Roman" w:eastAsia="Times New Roman" w:hAnsi="Times New Roman" w:cs="Times New Roman"/>
                <w:b/>
                <w:sz w:val="24"/>
                <w:szCs w:val="24"/>
              </w:rPr>
              <w:t xml:space="preserve"> </w:t>
            </w:r>
            <w:r w:rsidR="00FE1A6B" w:rsidRPr="00FE1A6B">
              <w:rPr>
                <w:rFonts w:ascii="Times New Roman" w:eastAsia="Times New Roman" w:hAnsi="Times New Roman" w:cs="Times New Roman"/>
                <w:b/>
                <w:sz w:val="24"/>
                <w:szCs w:val="24"/>
              </w:rPr>
              <w:t xml:space="preserve">м.Київ, </w:t>
            </w:r>
            <w:r>
              <w:rPr>
                <w:rFonts w:ascii="Times New Roman" w:eastAsia="Times New Roman" w:hAnsi="Times New Roman" w:cs="Times New Roman"/>
                <w:b/>
                <w:sz w:val="24"/>
                <w:szCs w:val="24"/>
              </w:rPr>
              <w:t>проспект Науки,53</w:t>
            </w:r>
          </w:p>
          <w:p w:rsidR="00FE1A6B" w:rsidRDefault="00FE1A6B" w:rsidP="009A3988">
            <w:pPr>
              <w:spacing w:before="240"/>
              <w:jc w:val="center"/>
              <w:rPr>
                <w:rFonts w:ascii="Times New Roman" w:eastAsia="Times New Roman" w:hAnsi="Times New Roman" w:cs="Times New Roman"/>
                <w:b/>
                <w:sz w:val="24"/>
                <w:szCs w:val="24"/>
              </w:rPr>
            </w:pP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9C71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C7100" w:rsidRDefault="00CA799D" w:rsidP="009C710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w:t>
            </w:r>
            <w:r w:rsidR="009C7100">
              <w:rPr>
                <w:rFonts w:ascii="Times New Roman" w:eastAsia="Times New Roman" w:hAnsi="Times New Roman" w:cs="Times New Roman"/>
                <w:color w:val="00B050"/>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C7100" w:rsidRDefault="009C7100" w:rsidP="009C7100">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9C7100" w:rsidRDefault="009C7100" w:rsidP="009C710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C7100" w:rsidRDefault="009C7100" w:rsidP="009C7100">
            <w:pPr>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 xml:space="preserve"> </w:t>
            </w:r>
          </w:p>
          <w:p w:rsidR="00FA6CB2" w:rsidRDefault="00FA6CB2">
            <w:pPr>
              <w:widowControl w:val="0"/>
              <w:jc w:val="both"/>
              <w:rPr>
                <w:rFonts w:ascii="Times New Roman" w:eastAsia="Times New Roman" w:hAnsi="Times New Roman" w:cs="Times New Roman"/>
                <w:sz w:val="24"/>
                <w:szCs w:val="24"/>
                <w:highlight w:val="white"/>
              </w:rPr>
            </w:pP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 xml:space="preserve">(якщо таке забезпечення передбачено оголошенням про </w:t>
            </w:r>
            <w:r w:rsidRPr="00A3072B">
              <w:rPr>
                <w:rFonts w:ascii="Times New Roman" w:eastAsia="Times New Roman" w:hAnsi="Times New Roman" w:cs="Times New Roman"/>
                <w:i/>
                <w:color w:val="FF0000"/>
                <w:sz w:val="24"/>
                <w:szCs w:val="24"/>
              </w:rPr>
              <w:lastRenderedPageBreak/>
              <w:t>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10E25" w:rsidRDefault="00F10E25" w:rsidP="00F10E25">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F10E25" w:rsidRDefault="00F10E25" w:rsidP="00F10E2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0E25" w:rsidRDefault="00F10E25" w:rsidP="00F10E25">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F10E25" w:rsidRDefault="00F10E25" w:rsidP="00F10E2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highlight w:val="white"/>
              </w:rPr>
              <w:t>.</w:t>
            </w:r>
          </w:p>
          <w:p w:rsidR="00FA6CB2" w:rsidRDefault="00FA6CB2">
            <w:pPr>
              <w:widowControl w:val="0"/>
              <w:pBdr>
                <w:top w:val="nil"/>
                <w:left w:val="nil"/>
                <w:bottom w:val="nil"/>
                <w:right w:val="nil"/>
                <w:between w:val="nil"/>
              </w:pBdr>
              <w:jc w:val="both"/>
              <w:rPr>
                <w:rFonts w:ascii="Times New Roman" w:eastAsia="Times New Roman" w:hAnsi="Times New Roman" w:cs="Times New Roman"/>
                <w:sz w:val="24"/>
                <w:szCs w:val="24"/>
              </w:rPr>
            </w:pPr>
          </w:p>
          <w:p w:rsidR="00FA6CB2" w:rsidRDefault="00FA6CB2">
            <w:pPr>
              <w:ind w:firstLine="567"/>
              <w:jc w:val="both"/>
              <w:rPr>
                <w:rFonts w:ascii="Times New Roman" w:eastAsia="Times New Roman" w:hAnsi="Times New Roman" w:cs="Times New Roman"/>
                <w:sz w:val="24"/>
                <w:szCs w:val="24"/>
                <w:highlight w:val="white"/>
              </w:rPr>
            </w:pPr>
          </w:p>
          <w:p w:rsidR="00FA6CB2" w:rsidRDefault="00FA6CB2">
            <w:pPr>
              <w:jc w:val="both"/>
              <w:rPr>
                <w:rFonts w:ascii="Times New Roman" w:eastAsia="Times New Roman" w:hAnsi="Times New Roman" w:cs="Times New Roman"/>
                <w:sz w:val="24"/>
                <w:szCs w:val="24"/>
                <w:highlight w:val="white"/>
              </w:rPr>
            </w:pPr>
          </w:p>
          <w:p w:rsidR="00FA6CB2" w:rsidRDefault="00F10E25">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C75F3E">
              <w:rPr>
                <w:rFonts w:ascii="Times New Roman" w:eastAsia="Times New Roman" w:hAnsi="Times New Roman" w:cs="Times New Roman"/>
                <w:b/>
                <w:color w:val="FF0000"/>
                <w:sz w:val="24"/>
                <w:szCs w:val="24"/>
              </w:rPr>
              <w:t>04</w:t>
            </w:r>
            <w:r w:rsidRPr="00E77672">
              <w:rPr>
                <w:rFonts w:ascii="Times New Roman" w:eastAsia="Times New Roman" w:hAnsi="Times New Roman" w:cs="Times New Roman"/>
                <w:b/>
                <w:color w:val="FF0000"/>
                <w:sz w:val="24"/>
                <w:szCs w:val="24"/>
              </w:rPr>
              <w:t xml:space="preserve">  </w:t>
            </w:r>
            <w:r w:rsidR="003D7C41">
              <w:rPr>
                <w:rFonts w:ascii="Times New Roman" w:eastAsia="Times New Roman" w:hAnsi="Times New Roman" w:cs="Times New Roman"/>
                <w:b/>
                <w:color w:val="FF0000"/>
                <w:sz w:val="24"/>
                <w:szCs w:val="24"/>
              </w:rPr>
              <w:t>трав</w:t>
            </w:r>
            <w:r w:rsidR="00A9697C">
              <w:rPr>
                <w:rFonts w:ascii="Times New Roman" w:eastAsia="Times New Roman" w:hAnsi="Times New Roman" w:cs="Times New Roman"/>
                <w:b/>
                <w:color w:val="FF0000"/>
                <w:sz w:val="24"/>
                <w:szCs w:val="24"/>
              </w:rPr>
              <w:t xml:space="preserve">ня </w:t>
            </w:r>
            <w:r w:rsidR="00D87094">
              <w:rPr>
                <w:rFonts w:ascii="Times New Roman" w:eastAsia="Times New Roman" w:hAnsi="Times New Roman" w:cs="Times New Roman"/>
                <w:b/>
                <w:color w:val="FF0000"/>
                <w:sz w:val="24"/>
                <w:szCs w:val="24"/>
              </w:rPr>
              <w:t>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r w:rsidR="006C75BC" w:rsidRPr="006C75BC">
              <w:rPr>
                <w:rFonts w:ascii="Times New Roman" w:eastAsia="Times New Roman" w:hAnsi="Times New Roman" w:cs="Times New Roman"/>
                <w:i/>
                <w:color w:val="4A86E8"/>
                <w:sz w:val="24"/>
                <w:szCs w:val="24"/>
                <w:highlight w:val="white"/>
              </w:rPr>
              <w:t>(товари і послуги)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Pr>
                <w:rFonts w:ascii="Times New Roman" w:eastAsia="Times New Roman" w:hAnsi="Times New Roman" w:cs="Times New Roman"/>
                <w:color w:val="00B050"/>
                <w:sz w:val="24"/>
                <w:szCs w:val="24"/>
                <w:highlight w:val="white"/>
              </w:rPr>
              <w:lastRenderedPageBreak/>
              <w:t>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color w:val="00B050"/>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color w:val="00B050"/>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040E6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sidR="00040E66" w:rsidRPr="0052302B">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00040E66" w:rsidRPr="0052302B">
              <w:rPr>
                <w:rFonts w:ascii="Times New Roman" w:eastAsia="Times New Roman" w:hAnsi="Times New Roman" w:cs="Times New Roman"/>
                <w:b/>
                <w:i/>
                <w:color w:val="000000"/>
                <w:sz w:val="24"/>
                <w:szCs w:val="24"/>
              </w:rPr>
              <w:t xml:space="preserve">Додатка 2 </w:t>
            </w:r>
            <w:r w:rsidR="00040E66" w:rsidRPr="0052302B">
              <w:rPr>
                <w:rFonts w:ascii="Times New Roman" w:eastAsia="Times New Roman" w:hAnsi="Times New Roman" w:cs="Times New Roman"/>
                <w:color w:val="000000"/>
                <w:sz w:val="24"/>
                <w:szCs w:val="24"/>
              </w:rPr>
              <w:t> тендерної документації.</w:t>
            </w:r>
            <w:r w:rsidR="00040E66">
              <w:rPr>
                <w:rFonts w:ascii="Times New Roman" w:eastAsia="Times New Roman" w:hAnsi="Times New Roman" w:cs="Times New Roman"/>
                <w:color w:val="000000"/>
                <w:sz w:val="24"/>
                <w:szCs w:val="24"/>
              </w:rPr>
              <w:t xml:space="preserve"> </w:t>
            </w:r>
            <w:r w:rsidR="00040E66" w:rsidRPr="00906BB1">
              <w:rPr>
                <w:rFonts w:ascii="Times New Roman" w:eastAsia="Times New Roman" w:hAnsi="Times New Roman" w:cs="Times New Roman"/>
                <w:i/>
                <w:color w:val="FF0000"/>
                <w:sz w:val="24"/>
                <w:szCs w:val="24"/>
              </w:rPr>
              <w:t>(у разі встановлення такої вимоги)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A2974" w:rsidRDefault="001A2974" w:rsidP="001A297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A2974" w:rsidRDefault="001A2974" w:rsidP="001A297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A2974" w:rsidRDefault="001A2974" w:rsidP="00A736C5">
            <w:pPr>
              <w:shd w:val="clear" w:color="auto" w:fill="FFFFFF"/>
              <w:ind w:firstLine="567"/>
              <w:jc w:val="both"/>
              <w:rPr>
                <w:rFonts w:ascii="Times New Roman" w:eastAsia="Times New Roman" w:hAnsi="Times New Roman" w:cs="Times New Roman"/>
                <w:b/>
                <w:i/>
                <w:sz w:val="24"/>
                <w:szCs w:val="24"/>
                <w:highlight w:val="white"/>
              </w:rPr>
            </w:pPr>
          </w:p>
          <w:p w:rsidR="001A2974" w:rsidRPr="001A2974" w:rsidRDefault="001A2974" w:rsidP="001A2974">
            <w:pPr>
              <w:shd w:val="clear" w:color="auto" w:fill="FFFFFF"/>
              <w:ind w:firstLine="567"/>
              <w:jc w:val="both"/>
              <w:rPr>
                <w:rFonts w:ascii="Times New Roman" w:eastAsia="Times New Roman" w:hAnsi="Times New Roman" w:cs="Times New Roman"/>
                <w:color w:val="00B050"/>
                <w:sz w:val="24"/>
                <w:szCs w:val="24"/>
                <w:highlight w:val="white"/>
              </w:rPr>
            </w:pPr>
            <w:r w:rsidRPr="001A2974">
              <w:rPr>
                <w:rFonts w:ascii="Times New Roman" w:eastAsia="Times New Roman" w:hAnsi="Times New Roman" w:cs="Times New Roman"/>
                <w:color w:val="00B050"/>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1A2974">
              <w:rPr>
                <w:rFonts w:ascii="Times New Roman" w:eastAsia="Times New Roman" w:hAnsi="Times New Roman" w:cs="Times New Roman"/>
                <w:color w:val="00B050"/>
                <w:sz w:val="24"/>
                <w:szCs w:val="24"/>
                <w:highlight w:val="white"/>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56590">
                <w:rPr>
                  <w:rStyle w:val="a6"/>
                  <w:rFonts w:ascii="Times New Roman" w:eastAsia="Times New Roman" w:hAnsi="Times New Roman" w:cs="Times New Roman"/>
                  <w:sz w:val="24"/>
                  <w:szCs w:val="24"/>
                  <w:highlight w:val="white"/>
                </w:rPr>
                <w:t>пункту 4</w:t>
              </w:r>
            </w:hyperlink>
            <w:r w:rsidRPr="00556590">
              <w:rPr>
                <w:rFonts w:ascii="Times New Roman" w:eastAsia="Times New Roman" w:hAnsi="Times New Roman" w:cs="Times New Roman"/>
                <w:color w:val="00B050"/>
                <w:sz w:val="24"/>
                <w:szCs w:val="24"/>
                <w:highlight w:val="white"/>
              </w:rPr>
              <w:t>3 цих особливостей;</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строк дії якої закінчився;</w:t>
            </w:r>
          </w:p>
          <w:p w:rsidR="00556590" w:rsidRP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590" w:rsidRDefault="00556590" w:rsidP="00556590">
            <w:pPr>
              <w:shd w:val="clear" w:color="auto" w:fill="FFFFFF"/>
              <w:ind w:firstLine="567"/>
              <w:jc w:val="both"/>
              <w:rPr>
                <w:rFonts w:ascii="Times New Roman" w:eastAsia="Times New Roman" w:hAnsi="Times New Roman" w:cs="Times New Roman"/>
                <w:color w:val="00B050"/>
                <w:sz w:val="24"/>
                <w:szCs w:val="24"/>
                <w:highlight w:val="white"/>
              </w:rPr>
            </w:pPr>
            <w:r w:rsidRPr="00556590">
              <w:rPr>
                <w:rFonts w:ascii="Times New Roman" w:eastAsia="Times New Roman" w:hAnsi="Times New Roman" w:cs="Times New Roman"/>
                <w:color w:val="00B05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56590" w:rsidRDefault="00556590" w:rsidP="0055659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6590" w:rsidRDefault="00556590">
            <w:pPr>
              <w:shd w:val="clear" w:color="auto" w:fill="FFFFFF"/>
              <w:ind w:firstLine="567"/>
              <w:jc w:val="both"/>
              <w:rPr>
                <w:rFonts w:ascii="Times New Roman" w:eastAsia="Times New Roman" w:hAnsi="Times New Roman" w:cs="Times New Roman"/>
                <w:sz w:val="24"/>
                <w:szCs w:val="24"/>
                <w:highlight w:val="white"/>
              </w:rPr>
            </w:pP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lastRenderedPageBreak/>
              <w:t>закупівель у разі, коли:</w:t>
            </w:r>
          </w:p>
          <w:p w:rsidR="00556590" w:rsidRDefault="00556590" w:rsidP="0055659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590" w:rsidRDefault="00556590" w:rsidP="0055659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color w:val="00B050"/>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6590" w:rsidRDefault="00556590" w:rsidP="005565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6590" w:rsidRDefault="00556590" w:rsidP="0055659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56590" w:rsidRDefault="00556590">
            <w:pPr>
              <w:shd w:val="clear" w:color="auto" w:fill="FFFFFF"/>
              <w:ind w:firstLine="567"/>
              <w:jc w:val="both"/>
              <w:rPr>
                <w:rFonts w:ascii="Times New Roman" w:eastAsia="Times New Roman" w:hAnsi="Times New Roman" w:cs="Times New Roman"/>
                <w:b/>
                <w:i/>
                <w:sz w:val="24"/>
                <w:szCs w:val="24"/>
                <w:highlight w:val="white"/>
              </w:rPr>
            </w:pPr>
          </w:p>
          <w:p w:rsidR="00FA6CB2" w:rsidRDefault="00FA6CB2">
            <w:pPr>
              <w:jc w:val="both"/>
              <w:rPr>
                <w:rFonts w:ascii="Times New Roman" w:eastAsia="Times New Roman" w:hAnsi="Times New Roman" w:cs="Times New Roman"/>
                <w:sz w:val="24"/>
                <w:szCs w:val="24"/>
                <w:highlight w:val="white"/>
              </w:rPr>
            </w:pP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rPr>
              <w:lastRenderedPageBreak/>
              <w:t>закупівель, з описом таких порушень;</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1EB5" w:rsidRDefault="00BB1EB5" w:rsidP="00BB1E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1EB5" w:rsidRDefault="00BB1EB5" w:rsidP="00BB1E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6CB2" w:rsidRDefault="00BB1EB5" w:rsidP="00BB1E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D69AB">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color w:val="00B050"/>
                <w:sz w:val="24"/>
                <w:szCs w:val="24"/>
                <w:highlight w:val="white"/>
              </w:rPr>
              <w:t xml:space="preserve">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FC5067"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FC5067">
        <w:rPr>
          <w:rFonts w:ascii="Times New Roman" w:eastAsia="Times New Roman" w:hAnsi="Times New Roman" w:cs="Times New Roman"/>
          <w:b/>
          <w:bCs/>
          <w:i/>
          <w:iCs/>
          <w:sz w:val="24"/>
          <w:szCs w:val="24"/>
          <w:lang w:eastAsia="ru-RU"/>
        </w:rPr>
        <w:t xml:space="preserve"> </w:t>
      </w:r>
      <w:r w:rsidR="00FC5067" w:rsidRPr="00FC5067">
        <w:rPr>
          <w:rFonts w:ascii="Times New Roman" w:eastAsia="Times New Roman" w:hAnsi="Times New Roman" w:cs="Times New Roman"/>
          <w:b/>
          <w:bCs/>
          <w:i/>
          <w:iCs/>
          <w:sz w:val="24"/>
          <w:szCs w:val="24"/>
          <w:lang w:eastAsia="ru-RU"/>
        </w:rPr>
        <w:t xml:space="preserve"> Радіальна обертова  форсунка, форсунка для прочистки каналізації «Донна» - (ДК 021:2015: 42950000-0- Частини універсальних машин)</w:t>
      </w:r>
      <w:r w:rsidR="00FC5067">
        <w:rPr>
          <w:rFonts w:ascii="Times New Roman" w:eastAsia="Times New Roman" w:hAnsi="Times New Roman" w:cs="Times New Roman"/>
          <w:b/>
          <w:bCs/>
          <w:i/>
          <w:iCs/>
          <w:sz w:val="24"/>
          <w:szCs w:val="24"/>
          <w:lang w:eastAsia="ru-RU"/>
        </w:rPr>
        <w:t xml:space="preserve"> </w:t>
      </w:r>
      <w:r w:rsidR="00367982">
        <w:rPr>
          <w:rFonts w:ascii="Times New Roman" w:eastAsia="Times New Roman" w:hAnsi="Times New Roman" w:cs="Times New Roman"/>
          <w:b/>
          <w:bCs/>
          <w:i/>
          <w:iCs/>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lastRenderedPageBreak/>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272652" w:rsidRPr="00A41EFF" w:rsidRDefault="00DE590E" w:rsidP="00272652">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w:t>
      </w:r>
      <w:r w:rsidR="00A41EFF">
        <w:rPr>
          <w:rFonts w:ascii="Times New Roman" w:eastAsia="Times New Roman" w:hAnsi="Times New Roman" w:cs="Times New Roman"/>
          <w:sz w:val="24"/>
          <w:szCs w:val="24"/>
          <w:lang w:val="ru-RU" w:eastAsia="ru-RU"/>
        </w:rPr>
        <w:t>р укласти договір про закупівлю</w:t>
      </w:r>
      <w:r w:rsidR="00272652">
        <w:rPr>
          <w:rFonts w:ascii="Times New Roman" w:eastAsia="Times New Roman" w:hAnsi="Times New Roman" w:cs="Times New Roman"/>
          <w:sz w:val="24"/>
          <w:szCs w:val="24"/>
          <w:lang w:val="ru-RU" w:eastAsia="ru-RU"/>
        </w:rPr>
        <w:t xml:space="preserve"> та надати замовнику підписані зі своєї сторони два примірники договору </w:t>
      </w:r>
      <w:r w:rsidR="00272652" w:rsidRPr="00A41EFF">
        <w:rPr>
          <w:rFonts w:ascii="Times New Roman" w:eastAsia="Times New Roman" w:hAnsi="Times New Roman" w:cs="Times New Roman"/>
          <w:sz w:val="24"/>
          <w:szCs w:val="24"/>
          <w:lang w:eastAsia="ru-RU"/>
        </w:rPr>
        <w:t>відповідно до вимог цієї тендерної документації та тендерної пропозиції</w:t>
      </w:r>
      <w:r w:rsidR="00272652">
        <w:rPr>
          <w:rFonts w:ascii="Times New Roman" w:eastAsia="Times New Roman" w:hAnsi="Times New Roman" w:cs="Times New Roman"/>
          <w:sz w:val="24"/>
          <w:szCs w:val="24"/>
          <w:lang w:eastAsia="ru-RU"/>
        </w:rPr>
        <w:t>,</w:t>
      </w:r>
      <w:r w:rsidR="00272652" w:rsidRPr="00A41EFF">
        <w:rPr>
          <w:rFonts w:ascii="Times New Roman" w:eastAsia="Times New Roman" w:hAnsi="Times New Roman" w:cs="Times New Roman"/>
          <w:color w:val="00B050"/>
          <w:sz w:val="24"/>
          <w:szCs w:val="24"/>
          <w:highlight w:val="white"/>
        </w:rPr>
        <w:t xml:space="preserve"> </w:t>
      </w:r>
      <w:r w:rsidR="00272652" w:rsidRPr="00A41EFF">
        <w:rPr>
          <w:rFonts w:ascii="Times New Roman" w:eastAsia="Times New Roman" w:hAnsi="Times New Roman" w:cs="Times New Roman"/>
          <w:sz w:val="24"/>
          <w:szCs w:val="24"/>
          <w:lang w:eastAsia="ru-RU"/>
        </w:rPr>
        <w:t>у тому числі за результатами електронного аукціону</w:t>
      </w:r>
      <w:r w:rsidR="00272652">
        <w:rPr>
          <w:rFonts w:ascii="Times New Roman" w:eastAsia="Times New Roman" w:hAnsi="Times New Roman" w:cs="Times New Roman"/>
          <w:sz w:val="24"/>
          <w:szCs w:val="24"/>
          <w:lang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FC5067" w:rsidRPr="00C75F3E" w:rsidRDefault="00FC5067" w:rsidP="00FC5067">
      <w:pPr>
        <w:snapToGrid w:val="0"/>
        <w:spacing w:before="20" w:after="2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Pr="00C75F3E">
        <w:rPr>
          <w:rFonts w:ascii="Times New Roman" w:eastAsia="Times New Roman" w:hAnsi="Times New Roman" w:cs="Times New Roman"/>
          <w:b/>
          <w:bCs/>
          <w:i/>
          <w:sz w:val="24"/>
          <w:szCs w:val="24"/>
          <w:lang w:eastAsia="ru-RU"/>
        </w:rPr>
        <w:t xml:space="preserve">Радіальна обертова  форсунка, форсунка для прочистки каналізації «Донна» </w:t>
      </w:r>
      <w:r w:rsidRPr="00C75F3E">
        <w:rPr>
          <w:rFonts w:ascii="Times New Roman" w:eastAsia="Times New Roman" w:hAnsi="Times New Roman" w:cs="Times New Roman"/>
          <w:b/>
          <w:i/>
          <w:snapToGrid w:val="0"/>
          <w:sz w:val="24"/>
          <w:szCs w:val="24"/>
          <w:lang w:eastAsia="ru-RU"/>
        </w:rPr>
        <w:t>- (</w:t>
      </w:r>
      <w:r w:rsidRPr="00C75F3E">
        <w:rPr>
          <w:rFonts w:ascii="Times New Roman" w:eastAsia="Times New Roman" w:hAnsi="Times New Roman" w:cs="Times New Roman"/>
          <w:b/>
          <w:bCs/>
          <w:i/>
          <w:sz w:val="24"/>
          <w:szCs w:val="24"/>
          <w:lang w:eastAsia="ru-RU"/>
        </w:rPr>
        <w:t>ДК 021:2015: 42950000-0- Частини універсальних машин)</w:t>
      </w:r>
    </w:p>
    <w:p w:rsidR="00FC5067" w:rsidRPr="00C27106" w:rsidRDefault="00FC5067" w:rsidP="00FC5067">
      <w:pPr>
        <w:snapToGrid w:val="0"/>
        <w:spacing w:before="20" w:after="20" w:line="240" w:lineRule="auto"/>
        <w:jc w:val="both"/>
        <w:rPr>
          <w:rFonts w:ascii="Times New Roman" w:eastAsia="Times New Roman" w:hAnsi="Times New Roman" w:cs="Times New Roman"/>
          <w:b/>
          <w:bCs/>
          <w:i/>
          <w:iCs/>
          <w:sz w:val="24"/>
          <w:szCs w:val="24"/>
          <w:lang w:eastAsia="ru-RU"/>
        </w:rPr>
      </w:pPr>
    </w:p>
    <w:p w:rsidR="00367982" w:rsidRDefault="00367982" w:rsidP="00DE590E">
      <w:pPr>
        <w:spacing w:after="0" w:line="360" w:lineRule="auto"/>
        <w:jc w:val="center"/>
        <w:rPr>
          <w:rFonts w:ascii="Times New Roman" w:eastAsia="Times New Roman" w:hAnsi="Times New Roman" w:cs="Times New Roman"/>
          <w:b/>
          <w:sz w:val="32"/>
          <w:szCs w:val="32"/>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FC5067" w:rsidRPr="00FC5067" w:rsidRDefault="00FC5067" w:rsidP="00FC5067">
      <w:pPr>
        <w:keepNext/>
        <w:shd w:val="clear" w:color="auto" w:fill="FFFFFF"/>
        <w:spacing w:before="270" w:after="135" w:line="240" w:lineRule="auto"/>
        <w:textAlignment w:val="baseline"/>
        <w:outlineLvl w:val="0"/>
        <w:rPr>
          <w:rFonts w:ascii="Times New Roman" w:eastAsia="Times New Roman" w:hAnsi="Times New Roman" w:cs="Times New Roman"/>
          <w:b/>
          <w:bCs/>
          <w:snapToGrid w:val="0"/>
          <w:kern w:val="32"/>
          <w:sz w:val="24"/>
          <w:szCs w:val="24"/>
          <w:lang w:eastAsia="ru-RU"/>
        </w:rPr>
      </w:pPr>
      <w:r w:rsidRPr="00FC5067">
        <w:rPr>
          <w:rFonts w:ascii="Times New Roman" w:eastAsia="Times New Roman" w:hAnsi="Times New Roman" w:cs="Times New Roman"/>
          <w:b/>
          <w:sz w:val="24"/>
          <w:szCs w:val="24"/>
          <w:lang w:eastAsia="ru-RU"/>
        </w:rPr>
        <w:t>1.Радіальна обертова  форсунка ENZ 04.100A 1”</w:t>
      </w:r>
      <w:r>
        <w:rPr>
          <w:rFonts w:ascii="Times New Roman" w:eastAsia="Times New Roman" w:hAnsi="Times New Roman" w:cs="Times New Roman"/>
          <w:b/>
          <w:sz w:val="24"/>
          <w:szCs w:val="24"/>
          <w:lang w:eastAsia="ru-RU"/>
        </w:rPr>
        <w:t xml:space="preserve"> </w:t>
      </w:r>
      <w:r w:rsidRPr="00FC5067">
        <w:rPr>
          <w:rFonts w:ascii="Calibri Light" w:eastAsia="Times New Roman" w:hAnsi="Calibri Light" w:cs="Times New Roman"/>
          <w:bCs/>
          <w:snapToGrid w:val="0"/>
          <w:kern w:val="32"/>
          <w:sz w:val="32"/>
          <w:szCs w:val="32"/>
          <w:lang w:eastAsia="ru-RU"/>
        </w:rPr>
        <w:t xml:space="preserve">- </w:t>
      </w:r>
      <w:r w:rsidRPr="00FC5067">
        <w:rPr>
          <w:rFonts w:ascii="Times New Roman" w:eastAsia="Times New Roman" w:hAnsi="Times New Roman" w:cs="Times New Roman"/>
          <w:b/>
          <w:bCs/>
          <w:snapToGrid w:val="0"/>
          <w:kern w:val="32"/>
          <w:sz w:val="24"/>
          <w:szCs w:val="24"/>
          <w:lang w:eastAsia="ru-RU"/>
        </w:rPr>
        <w:t>1шт.</w:t>
      </w:r>
    </w:p>
    <w:p w:rsidR="00FC5067" w:rsidRPr="00FC5067" w:rsidRDefault="00FC5067" w:rsidP="00FC5067">
      <w:pPr>
        <w:keepNext/>
        <w:shd w:val="clear" w:color="auto" w:fill="FFFFFF"/>
        <w:spacing w:before="270" w:after="135" w:line="240" w:lineRule="auto"/>
        <w:textAlignment w:val="baseline"/>
        <w:outlineLvl w:val="0"/>
        <w:rPr>
          <w:rFonts w:ascii="Times New Roman" w:eastAsia="Times New Roman" w:hAnsi="Times New Roman" w:cs="Times New Roman"/>
          <w:sz w:val="24"/>
          <w:szCs w:val="24"/>
          <w:lang w:eastAsia="ru-RU"/>
        </w:rPr>
      </w:pPr>
      <w:r w:rsidRPr="00FC506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r w:rsidRPr="00FC5067">
        <w:rPr>
          <w:rFonts w:ascii="Times New Roman" w:eastAsia="Times New Roman" w:hAnsi="Times New Roman" w:cs="Times New Roman"/>
          <w:sz w:val="24"/>
          <w:szCs w:val="24"/>
          <w:lang w:eastAsia="ru-RU"/>
        </w:rPr>
        <w:t>ризначена для видалення органічних відкладень, для очищення теплообмінників, очищення жирових відкладень, видалення коріння.</w:t>
      </w:r>
      <w:r>
        <w:rPr>
          <w:rFonts w:ascii="Times New Roman" w:eastAsia="Times New Roman" w:hAnsi="Times New Roman" w:cs="Times New Roman"/>
          <w:sz w:val="24"/>
          <w:szCs w:val="24"/>
          <w:lang w:eastAsia="ru-RU"/>
        </w:rPr>
        <w:t xml:space="preserve"> </w:t>
      </w:r>
      <w:r w:rsidRPr="00FC5067">
        <w:rPr>
          <w:rFonts w:ascii="Times New Roman" w:eastAsia="Times New Roman" w:hAnsi="Times New Roman" w:cs="Times New Roman"/>
          <w:sz w:val="24"/>
          <w:szCs w:val="24"/>
          <w:lang w:eastAsia="ru-RU"/>
        </w:rPr>
        <w:t>Використовує два струмені під кутом 90 градусів і два струмені під кутом 45 градусів.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056"/>
      </w:tblGrid>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val="ru-RU" w:eastAsia="ru-RU"/>
              </w:rPr>
              <w:t>З'єднувальна різьба NPT</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val="ru-RU" w:eastAsia="ru-RU"/>
              </w:rPr>
              <w:t>1”</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Діаметр прочистки мм</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val="ru-RU" w:eastAsia="ru-RU"/>
              </w:rPr>
              <w:t>(150)200-600мм</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Витрати води</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val="ru-RU" w:eastAsia="ru-RU"/>
              </w:rPr>
              <w:t>Мін.200л/хв</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Бокові жеклери</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4хМ10</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Штовхаючі жеклери</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3хМ10</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Діаметри х довжина мм</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100х175</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Вага (кг)</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7,300</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Максимальний тиск</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val="ru-RU" w:eastAsia="ru-RU"/>
              </w:rPr>
              <w:t>250 бар</w:t>
            </w:r>
          </w:p>
        </w:tc>
      </w:tr>
    </w:tbl>
    <w:p w:rsidR="00B628DD" w:rsidRDefault="00FC5067" w:rsidP="00FC5067">
      <w:pPr>
        <w:keepNext/>
        <w:shd w:val="clear" w:color="auto" w:fill="FFFFFF"/>
        <w:spacing w:before="270" w:after="135" w:line="240" w:lineRule="auto"/>
        <w:textAlignment w:val="baseline"/>
        <w:outlineLvl w:val="0"/>
        <w:rPr>
          <w:rFonts w:ascii="Times New Roman" w:eastAsia="Times New Roman" w:hAnsi="Times New Roman" w:cs="Times New Roman"/>
          <w:b/>
          <w:sz w:val="24"/>
          <w:szCs w:val="24"/>
          <w:lang w:eastAsia="ru-RU"/>
        </w:rPr>
      </w:pPr>
      <w:r w:rsidRPr="00FC5067">
        <w:rPr>
          <w:rFonts w:ascii="Times New Roman" w:eastAsia="Times New Roman" w:hAnsi="Times New Roman" w:cs="Times New Roman"/>
          <w:b/>
          <w:sz w:val="24"/>
          <w:szCs w:val="24"/>
          <w:lang w:eastAsia="ru-RU"/>
        </w:rPr>
        <w:lastRenderedPageBreak/>
        <w:t xml:space="preserve">2. Форсунка для прочистки каналізації «Донна» ENZ 70.100”- </w:t>
      </w:r>
      <w:r>
        <w:rPr>
          <w:rFonts w:ascii="Times New Roman" w:eastAsia="Times New Roman" w:hAnsi="Times New Roman" w:cs="Times New Roman"/>
          <w:b/>
          <w:sz w:val="24"/>
          <w:szCs w:val="24"/>
          <w:lang w:eastAsia="ru-RU"/>
        </w:rPr>
        <w:t xml:space="preserve">1шт. </w:t>
      </w:r>
    </w:p>
    <w:p w:rsidR="00FC5067" w:rsidRPr="00FC5067" w:rsidRDefault="00FC5067" w:rsidP="00FC5067">
      <w:pPr>
        <w:keepNext/>
        <w:shd w:val="clear" w:color="auto" w:fill="FFFFFF"/>
        <w:spacing w:before="270" w:after="135" w:line="240" w:lineRule="auto"/>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FC5067">
        <w:rPr>
          <w:rFonts w:ascii="Times New Roman" w:eastAsia="Times New Roman" w:hAnsi="Times New Roman" w:cs="Times New Roman"/>
          <w:sz w:val="24"/>
          <w:szCs w:val="24"/>
          <w:lang w:eastAsia="ru-RU"/>
        </w:rPr>
        <w:t xml:space="preserve">абезпечує ідеальне ковзання, керамічні вставки та оптимізований реверс потоку створюють агресивні струмені води  для видалення бруду та сипучих уламків у трубах і каналах.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056"/>
      </w:tblGrid>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 xml:space="preserve">З'єднувальна різьба </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1”</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Діаметр прочистки мм</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300-800мм</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Витрати води</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Мін.200л/хв</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Штовхаючі жеклери</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8хМ10</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Діаметри х довжина мм</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340х160х56</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Вага (кг)</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eastAsia="ru-RU"/>
              </w:rPr>
              <w:t>11,000</w:t>
            </w:r>
          </w:p>
        </w:tc>
      </w:tr>
      <w:tr w:rsidR="00FC5067" w:rsidRPr="00FC5067" w:rsidTr="00FC5067">
        <w:tc>
          <w:tcPr>
            <w:tcW w:w="5140" w:type="dxa"/>
            <w:shd w:val="clear" w:color="auto" w:fill="auto"/>
          </w:tcPr>
          <w:p w:rsidR="00FC5067" w:rsidRPr="00FC5067" w:rsidRDefault="00FC5067" w:rsidP="00FC5067">
            <w:pPr>
              <w:spacing w:after="0" w:line="240" w:lineRule="auto"/>
              <w:rPr>
                <w:rFonts w:ascii="Times New Roman" w:eastAsia="Times New Roman" w:hAnsi="Times New Roman" w:cs="Times New Roman"/>
                <w:sz w:val="24"/>
                <w:szCs w:val="24"/>
                <w:lang w:val="ru-RU" w:eastAsia="ru-RU"/>
              </w:rPr>
            </w:pPr>
            <w:r w:rsidRPr="00FC5067">
              <w:rPr>
                <w:rFonts w:ascii="Times New Roman" w:eastAsia="Times New Roman" w:hAnsi="Times New Roman" w:cs="Times New Roman"/>
                <w:sz w:val="24"/>
                <w:szCs w:val="24"/>
                <w:lang w:val="ru-RU" w:eastAsia="ru-RU"/>
              </w:rPr>
              <w:t>Максимальний тиск</w:t>
            </w:r>
          </w:p>
        </w:tc>
        <w:tc>
          <w:tcPr>
            <w:tcW w:w="2056" w:type="dxa"/>
            <w:shd w:val="clear" w:color="auto" w:fill="auto"/>
          </w:tcPr>
          <w:p w:rsidR="00FC5067" w:rsidRPr="00FC5067" w:rsidRDefault="00FC5067" w:rsidP="00FC5067">
            <w:pPr>
              <w:spacing w:after="0" w:line="240" w:lineRule="auto"/>
              <w:jc w:val="center"/>
              <w:rPr>
                <w:rFonts w:ascii="Times New Roman" w:eastAsia="Times New Roman" w:hAnsi="Times New Roman" w:cs="Times New Roman"/>
                <w:sz w:val="24"/>
                <w:szCs w:val="24"/>
                <w:lang w:eastAsia="ru-RU"/>
              </w:rPr>
            </w:pPr>
            <w:r w:rsidRPr="00FC5067">
              <w:rPr>
                <w:rFonts w:ascii="Times New Roman" w:eastAsia="Times New Roman" w:hAnsi="Times New Roman" w:cs="Times New Roman"/>
                <w:sz w:val="24"/>
                <w:szCs w:val="24"/>
                <w:lang w:val="ru-RU" w:eastAsia="ru-RU"/>
              </w:rPr>
              <w:t>250 бар</w:t>
            </w:r>
          </w:p>
        </w:tc>
      </w:tr>
    </w:tbl>
    <w:p w:rsidR="00D03B0B" w:rsidRPr="00D03B0B" w:rsidRDefault="00D03B0B" w:rsidP="00D03B0B">
      <w:pPr>
        <w:widowControl w:val="0"/>
        <w:shd w:val="clear" w:color="auto" w:fill="FFFFFF"/>
        <w:autoSpaceDE w:val="0"/>
        <w:autoSpaceDN w:val="0"/>
        <w:adjustRightInd w:val="0"/>
        <w:spacing w:after="0" w:line="240" w:lineRule="auto"/>
        <w:ind w:right="43"/>
        <w:rPr>
          <w:rFonts w:ascii="Times New Roman" w:hAnsi="Times New Roman" w:cs="Times New Roman"/>
          <w:b/>
          <w:bCs/>
          <w:i/>
          <w:sz w:val="24"/>
          <w:szCs w:val="24"/>
        </w:rPr>
      </w:pPr>
    </w:p>
    <w:p w:rsidR="007D7228" w:rsidRPr="007D7228" w:rsidRDefault="007D7228" w:rsidP="007D7228">
      <w:pPr>
        <w:spacing w:after="0" w:line="240" w:lineRule="atLeast"/>
        <w:contextualSpacing/>
        <w:rPr>
          <w:rFonts w:ascii="Times New Roman" w:eastAsia="Times New Roman" w:hAnsi="Times New Roman" w:cs="Times New Roman"/>
          <w:bCs/>
        </w:rPr>
      </w:pPr>
    </w:p>
    <w:p w:rsidR="007D7228" w:rsidRPr="007D7228" w:rsidRDefault="007D7228" w:rsidP="007D7228">
      <w:pPr>
        <w:widowControl w:val="0"/>
        <w:autoSpaceDE w:val="0"/>
        <w:spacing w:after="0" w:line="240" w:lineRule="auto"/>
        <w:jc w:val="both"/>
        <w:rPr>
          <w:rFonts w:ascii="Times New Roman" w:eastAsia="Times New Roman" w:hAnsi="Times New Roman" w:cs="Times New Roman"/>
          <w:sz w:val="24"/>
          <w:szCs w:val="24"/>
          <w:lang w:val="ru-RU" w:eastAsia="ru-RU"/>
        </w:rPr>
      </w:pPr>
      <w:r w:rsidRPr="007D7228">
        <w:rPr>
          <w:rFonts w:ascii="Times New Roman" w:eastAsia="Times New Roman" w:hAnsi="Times New Roman" w:cs="Times New Roman"/>
          <w:b/>
          <w:sz w:val="24"/>
          <w:szCs w:val="24"/>
          <w:lang w:val="ru-RU" w:eastAsia="ru-RU"/>
        </w:rPr>
        <w:t xml:space="preserve"> Місце поставки товару</w:t>
      </w:r>
      <w:r w:rsidRPr="007D7228">
        <w:rPr>
          <w:rFonts w:ascii="Times New Roman" w:eastAsia="Times New Roman" w:hAnsi="Times New Roman" w:cs="Times New Roman"/>
          <w:sz w:val="24"/>
          <w:szCs w:val="24"/>
          <w:lang w:val="ru-RU" w:eastAsia="ru-RU"/>
        </w:rPr>
        <w:t xml:space="preserve"> -  м. Київ, проспект Науки,53 </w:t>
      </w:r>
    </w:p>
    <w:p w:rsidR="007D7228" w:rsidRPr="007D7228" w:rsidRDefault="007D7228" w:rsidP="007D7228">
      <w:pPr>
        <w:widowControl w:val="0"/>
        <w:autoSpaceDE w:val="0"/>
        <w:spacing w:after="0" w:line="240" w:lineRule="auto"/>
        <w:jc w:val="both"/>
        <w:rPr>
          <w:rFonts w:ascii="Times New Roman" w:eastAsia="Times New Roman" w:hAnsi="Times New Roman" w:cs="Times New Roman"/>
          <w:sz w:val="24"/>
          <w:szCs w:val="24"/>
          <w:lang w:val="ru-RU" w:eastAsia="ru-RU"/>
        </w:rPr>
      </w:pPr>
    </w:p>
    <w:p w:rsidR="007D7228" w:rsidRPr="007D7228" w:rsidRDefault="007D7228" w:rsidP="007D72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7D7228">
        <w:rPr>
          <w:rFonts w:ascii="Times New Roman" w:eastAsia="Times New Roman" w:hAnsi="Times New Roman" w:cs="Times New Roman"/>
          <w:color w:val="000000"/>
          <w:sz w:val="24"/>
          <w:szCs w:val="24"/>
          <w:lang w:eastAsia="ru-RU"/>
        </w:rPr>
        <w:t>Якість товару/послуг, що поставляється, підтверджується діючими сертиф</w:t>
      </w:r>
      <w:r w:rsidR="00010749">
        <w:rPr>
          <w:rFonts w:ascii="Times New Roman" w:eastAsia="Times New Roman" w:hAnsi="Times New Roman" w:cs="Times New Roman"/>
          <w:color w:val="000000"/>
          <w:sz w:val="24"/>
          <w:szCs w:val="24"/>
          <w:lang w:eastAsia="ru-RU"/>
        </w:rPr>
        <w:t xml:space="preserve">ікатами відповідності (якості) та/або паспортами якості </w:t>
      </w:r>
      <w:r w:rsidR="00010749" w:rsidRPr="00010749">
        <w:rPr>
          <w:rFonts w:ascii="Times New Roman" w:eastAsia="Times New Roman" w:hAnsi="Times New Roman" w:cs="Times New Roman"/>
          <w:color w:val="000000"/>
          <w:sz w:val="24"/>
          <w:szCs w:val="24"/>
          <w:lang w:eastAsia="ru-RU"/>
        </w:rPr>
        <w:t>та/або</w:t>
      </w:r>
      <w:r w:rsidRPr="00010749">
        <w:rPr>
          <w:rFonts w:ascii="Times New Roman" w:eastAsia="Times New Roman" w:hAnsi="Times New Roman" w:cs="Times New Roman"/>
          <w:color w:val="000000"/>
          <w:sz w:val="24"/>
          <w:szCs w:val="24"/>
          <w:lang w:eastAsia="ru-RU"/>
        </w:rPr>
        <w:t xml:space="preserve"> </w:t>
      </w:r>
      <w:r w:rsidRPr="007D7228">
        <w:rPr>
          <w:rFonts w:ascii="Times New Roman" w:eastAsia="Times New Roman" w:hAnsi="Times New Roman" w:cs="Times New Roman"/>
          <w:color w:val="000000"/>
          <w:sz w:val="24"/>
          <w:szCs w:val="24"/>
          <w:lang w:eastAsia="ru-RU"/>
        </w:rPr>
        <w:t xml:space="preserve">технічними паспортами або іншими документами у відповідності до чинного законодавства України, які </w:t>
      </w:r>
      <w:r w:rsidRPr="007D7228">
        <w:rPr>
          <w:rFonts w:ascii="Times New Roman" w:eastAsia="Times New Roman" w:hAnsi="Times New Roman" w:cs="Times New Roman"/>
          <w:b/>
          <w:color w:val="000000"/>
          <w:sz w:val="24"/>
          <w:szCs w:val="24"/>
          <w:lang w:eastAsia="ru-RU"/>
        </w:rPr>
        <w:t xml:space="preserve">надаються замовнику </w:t>
      </w:r>
      <w:r w:rsidR="00010749" w:rsidRPr="00010749">
        <w:rPr>
          <w:rFonts w:ascii="Times New Roman" w:eastAsia="Times New Roman" w:hAnsi="Times New Roman" w:cs="Times New Roman"/>
          <w:b/>
          <w:color w:val="000000"/>
          <w:sz w:val="24"/>
          <w:szCs w:val="24"/>
          <w:lang w:eastAsia="ru-RU"/>
        </w:rPr>
        <w:t xml:space="preserve">у складі тендерної пропозиції та </w:t>
      </w:r>
      <w:r w:rsidRPr="007D7228">
        <w:rPr>
          <w:rFonts w:ascii="Times New Roman" w:eastAsia="Times New Roman" w:hAnsi="Times New Roman" w:cs="Times New Roman"/>
          <w:b/>
          <w:color w:val="000000"/>
          <w:sz w:val="24"/>
          <w:szCs w:val="24"/>
          <w:lang w:eastAsia="ru-RU"/>
        </w:rPr>
        <w:t>при постачанні товару</w:t>
      </w:r>
      <w:r w:rsidRPr="007D7228">
        <w:rPr>
          <w:rFonts w:ascii="Times New Roman" w:eastAsia="Times New Roman" w:hAnsi="Times New Roman" w:cs="Times New Roman"/>
          <w:color w:val="000000"/>
          <w:sz w:val="24"/>
          <w:szCs w:val="24"/>
          <w:lang w:eastAsia="ru-RU"/>
        </w:rPr>
        <w:t xml:space="preserve"> та завірені підписом та  печаткою Учасника торгів.</w:t>
      </w:r>
    </w:p>
    <w:p w:rsidR="007D7228" w:rsidRPr="007D7228" w:rsidRDefault="007D7228" w:rsidP="007D7228">
      <w:pPr>
        <w:spacing w:after="0" w:line="240" w:lineRule="auto"/>
        <w:rPr>
          <w:rFonts w:ascii="Times New Roman" w:eastAsia="Times New Roman" w:hAnsi="Times New Roman" w:cs="Times New Roman"/>
          <w:sz w:val="24"/>
          <w:szCs w:val="24"/>
          <w:lang w:val="ru-RU" w:eastAsia="ru-RU"/>
        </w:rPr>
      </w:pPr>
      <w:r w:rsidRPr="007D7228">
        <w:rPr>
          <w:rFonts w:ascii="Times New Roman" w:eastAsia="Times New Roman" w:hAnsi="Times New Roman" w:cs="Times New Roman"/>
          <w:lang w:eastAsia="ru-RU"/>
        </w:rPr>
        <w:t xml:space="preserve"> </w:t>
      </w:r>
      <w:r w:rsidRPr="007D7228">
        <w:rPr>
          <w:rFonts w:ascii="Times New Roman" w:eastAsia="Times New Roman" w:hAnsi="Times New Roman" w:cs="Times New Roman"/>
          <w:b/>
          <w:sz w:val="24"/>
          <w:szCs w:val="24"/>
          <w:lang w:val="ru-RU" w:eastAsia="ru-RU"/>
        </w:rPr>
        <w:t>Поставка товару</w:t>
      </w:r>
      <w:r w:rsidRPr="007D7228">
        <w:rPr>
          <w:rFonts w:ascii="Times New Roman" w:eastAsia="Times New Roman" w:hAnsi="Times New Roman" w:cs="Times New Roman"/>
          <w:sz w:val="24"/>
          <w:szCs w:val="24"/>
          <w:lang w:val="ru-RU" w:eastAsia="ru-RU"/>
        </w:rPr>
        <w:t xml:space="preserve"> здійсн</w:t>
      </w:r>
      <w:r w:rsidR="00FC5067">
        <w:rPr>
          <w:rFonts w:ascii="Times New Roman" w:eastAsia="Times New Roman" w:hAnsi="Times New Roman" w:cs="Times New Roman"/>
          <w:sz w:val="24"/>
          <w:szCs w:val="24"/>
          <w:lang w:val="ru-RU" w:eastAsia="ru-RU"/>
        </w:rPr>
        <w:t>юється Постачальником протягом 14</w:t>
      </w:r>
      <w:r w:rsidRPr="007D7228">
        <w:rPr>
          <w:rFonts w:ascii="Times New Roman" w:eastAsia="Times New Roman" w:hAnsi="Times New Roman" w:cs="Times New Roman"/>
          <w:sz w:val="24"/>
          <w:szCs w:val="24"/>
          <w:lang w:val="ru-RU" w:eastAsia="ru-RU"/>
        </w:rPr>
        <w:t>-ми днів, з дня надання заявки.</w:t>
      </w:r>
    </w:p>
    <w:p w:rsidR="007D7228" w:rsidRPr="007D7228" w:rsidRDefault="007D7228" w:rsidP="007D7228">
      <w:pPr>
        <w:spacing w:after="0" w:line="240" w:lineRule="auto"/>
        <w:rPr>
          <w:rFonts w:ascii="Times New Roman" w:eastAsia="Times New Roman" w:hAnsi="Times New Roman" w:cs="Times New Roman"/>
          <w:sz w:val="24"/>
          <w:szCs w:val="24"/>
          <w:lang w:val="ru-RU" w:eastAsia="ru-RU"/>
        </w:rPr>
      </w:pPr>
    </w:p>
    <w:p w:rsidR="007D7228" w:rsidRPr="007D7228" w:rsidRDefault="007D7228" w:rsidP="007D7228">
      <w:pPr>
        <w:spacing w:after="0" w:line="240" w:lineRule="auto"/>
        <w:rPr>
          <w:rFonts w:ascii="Times New Roman" w:eastAsia="Times New Roman" w:hAnsi="Times New Roman" w:cs="Times New Roman"/>
          <w:b/>
          <w:sz w:val="24"/>
          <w:szCs w:val="24"/>
          <w:lang w:val="ru-RU" w:eastAsia="ru-RU"/>
        </w:rPr>
      </w:pPr>
    </w:p>
    <w:p w:rsidR="00734550" w:rsidRDefault="00734550" w:rsidP="0073455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Інші умови:</w:t>
      </w:r>
    </w:p>
    <w:p w:rsidR="00FC5067" w:rsidRPr="00734550" w:rsidRDefault="00FC5067" w:rsidP="0073455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 xml:space="preserve"> Учасник</w:t>
      </w:r>
      <w:r w:rsidR="007D7228" w:rsidRPr="007D7228">
        <w:rPr>
          <w:rFonts w:ascii="Times New Roman" w:eastAsia="Times New Roman" w:hAnsi="Times New Roman" w:cs="Times New Roman"/>
          <w:sz w:val="24"/>
          <w:szCs w:val="24"/>
          <w:lang w:eastAsia="ru-RU"/>
        </w:rPr>
        <w:t xml:space="preserve"> торгів,</w:t>
      </w:r>
      <w:r>
        <w:rPr>
          <w:rFonts w:ascii="Times New Roman" w:eastAsia="Times New Roman" w:hAnsi="Times New Roman" w:cs="Times New Roman"/>
          <w:sz w:val="24"/>
          <w:szCs w:val="24"/>
          <w:lang w:eastAsia="ru-RU"/>
        </w:rPr>
        <w:t xml:space="preserve"> який пропонує </w:t>
      </w:r>
      <w:r w:rsidRPr="00FC5067">
        <w:rPr>
          <w:rFonts w:ascii="Times New Roman" w:eastAsia="Times New Roman" w:hAnsi="Times New Roman" w:cs="Times New Roman"/>
          <w:i/>
          <w:sz w:val="24"/>
          <w:szCs w:val="24"/>
          <w:lang w:eastAsia="ru-RU"/>
        </w:rPr>
        <w:t>еквівалент</w:t>
      </w:r>
      <w:r w:rsidR="00734550" w:rsidRPr="00734550">
        <w:rPr>
          <w:rFonts w:ascii="Times New Roman" w:eastAsia="Times New Roman" w:hAnsi="Times New Roman" w:cs="Times New Roman"/>
          <w:sz w:val="24"/>
          <w:szCs w:val="24"/>
          <w:lang w:eastAsia="ru-RU"/>
        </w:rPr>
        <w:t xml:space="preserve"> </w:t>
      </w:r>
      <w:r w:rsidR="00734550">
        <w:rPr>
          <w:rFonts w:ascii="Times New Roman" w:eastAsia="Times New Roman" w:hAnsi="Times New Roman" w:cs="Times New Roman"/>
          <w:sz w:val="24"/>
          <w:szCs w:val="24"/>
          <w:lang w:eastAsia="ru-RU"/>
        </w:rPr>
        <w:t>д</w:t>
      </w:r>
      <w:r w:rsidR="00734550" w:rsidRPr="007D7228">
        <w:rPr>
          <w:rFonts w:ascii="Times New Roman" w:eastAsia="Times New Roman" w:hAnsi="Times New Roman" w:cs="Times New Roman"/>
          <w:sz w:val="24"/>
          <w:szCs w:val="24"/>
          <w:lang w:eastAsia="ru-RU"/>
        </w:rPr>
        <w:t>ля підтвердження відповідності технічним вимогам  запропонов</w:t>
      </w:r>
      <w:r w:rsidR="00734550">
        <w:rPr>
          <w:rFonts w:ascii="Times New Roman" w:eastAsia="Times New Roman" w:hAnsi="Times New Roman" w:cs="Times New Roman"/>
          <w:sz w:val="24"/>
          <w:szCs w:val="24"/>
          <w:lang w:eastAsia="ru-RU"/>
        </w:rPr>
        <w:t>аного т</w:t>
      </w:r>
      <w:r w:rsidR="00734550">
        <w:rPr>
          <w:rFonts w:ascii="Times New Roman" w:eastAsia="Times New Roman" w:hAnsi="Times New Roman" w:cs="Times New Roman"/>
          <w:sz w:val="24"/>
          <w:szCs w:val="24"/>
          <w:lang w:eastAsia="ru-RU"/>
        </w:rPr>
        <w:t>овару</w:t>
      </w:r>
      <w:r w:rsidR="007D7228" w:rsidRPr="007D7228">
        <w:rPr>
          <w:rFonts w:ascii="Times New Roman" w:eastAsia="Times New Roman" w:hAnsi="Times New Roman" w:cs="Times New Roman"/>
          <w:sz w:val="24"/>
          <w:szCs w:val="24"/>
          <w:lang w:eastAsia="ru-RU"/>
        </w:rPr>
        <w:t xml:space="preserve"> надає </w:t>
      </w:r>
      <w:r>
        <w:rPr>
          <w:rFonts w:ascii="Times New Roman" w:eastAsia="Times New Roman" w:hAnsi="Times New Roman" w:cs="Times New Roman"/>
          <w:sz w:val="24"/>
          <w:szCs w:val="24"/>
          <w:lang w:eastAsia="ru-RU"/>
        </w:rPr>
        <w:t>у складі тендерної пропозиції порівняльну таблицю</w:t>
      </w:r>
      <w:r w:rsidR="00B628DD">
        <w:rPr>
          <w:rFonts w:ascii="Times New Roman" w:eastAsia="Times New Roman" w:hAnsi="Times New Roman" w:cs="Times New Roman"/>
          <w:sz w:val="24"/>
          <w:szCs w:val="24"/>
          <w:lang w:eastAsia="ru-RU"/>
        </w:rPr>
        <w:t xml:space="preserve"> згідно таблиць додатку 2 тендерної документації та довідку у довільній формі з зазначенням відомостей про виробника товару, країну походження, гарантійний строк, </w:t>
      </w:r>
      <w:r w:rsidR="00734550">
        <w:rPr>
          <w:rFonts w:ascii="Times New Roman" w:eastAsia="Times New Roman" w:hAnsi="Times New Roman" w:cs="Times New Roman"/>
          <w:sz w:val="24"/>
          <w:szCs w:val="24"/>
          <w:lang w:eastAsia="ru-RU"/>
        </w:rPr>
        <w:t>ремонтопригодність тощо.</w:t>
      </w:r>
    </w:p>
    <w:p w:rsidR="003B2641" w:rsidRPr="00244AA3" w:rsidRDefault="003B2641" w:rsidP="00BE71C6">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i/>
          <w:sz w:val="24"/>
          <w:szCs w:val="24"/>
          <w:lang w:eastAsia="ru-RU"/>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w:t>
      </w:r>
      <w:r w:rsidRPr="00B628DD">
        <w:rPr>
          <w:rFonts w:ascii="Times New Roman" w:eastAsia="Times New Roman" w:hAnsi="Times New Roman" w:cs="Times New Roman"/>
          <w:b/>
          <w:i/>
          <w:color w:val="000000"/>
          <w:sz w:val="24"/>
          <w:szCs w:val="24"/>
          <w:lang w:eastAsia="ru-RU"/>
        </w:rPr>
        <w:t>або еквівалент</w:t>
      </w:r>
      <w:r w:rsidRPr="00DE590E">
        <w:rPr>
          <w:rFonts w:ascii="Times New Roman" w:eastAsia="Times New Roman" w:hAnsi="Times New Roman" w:cs="Times New Roman"/>
          <w:i/>
          <w:color w:val="000000"/>
          <w:sz w:val="24"/>
          <w:szCs w:val="24"/>
          <w:lang w:eastAsia="ru-RU"/>
        </w:rPr>
        <w:t>".</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w:t>
      </w:r>
      <w:r w:rsidRPr="00B628DD">
        <w:rPr>
          <w:rFonts w:ascii="Times New Roman" w:eastAsia="Times New Roman" w:hAnsi="Times New Roman" w:cs="Times New Roman"/>
          <w:b/>
          <w:i/>
          <w:color w:val="000000"/>
          <w:sz w:val="24"/>
          <w:szCs w:val="24"/>
          <w:lang w:eastAsia="ru-RU"/>
        </w:rPr>
        <w:t>або еквівалент</w:t>
      </w:r>
      <w:r w:rsidRPr="00DE590E">
        <w:rPr>
          <w:rFonts w:ascii="Times New Roman" w:eastAsia="Times New Roman" w:hAnsi="Times New Roman" w:cs="Times New Roman"/>
          <w:i/>
          <w:color w:val="000000"/>
          <w:sz w:val="24"/>
          <w:szCs w:val="24"/>
          <w:lang w:eastAsia="ru-RU"/>
        </w:rPr>
        <w:t>".</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w:t>
      </w:r>
      <w:r w:rsidR="00D03B0B">
        <w:rPr>
          <w:rFonts w:ascii="Times New Roman" w:hAnsi="Times New Roman" w:cs="Times New Roman"/>
          <w:b/>
          <w:i/>
          <w:sz w:val="24"/>
          <w:szCs w:val="24"/>
          <w:lang w:eastAsia="en-US"/>
        </w:rPr>
        <w:t xml:space="preserve"> надання послуг</w:t>
      </w:r>
      <w:r w:rsidR="00792145">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503"/>
        <w:gridCol w:w="2335"/>
        <w:gridCol w:w="7044"/>
      </w:tblGrid>
      <w:tr w:rsidR="00D03B0B" w:rsidRPr="00D03B0B" w:rsidTr="00E31F64">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 з/п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color w:val="4A86E8"/>
                <w:sz w:val="20"/>
                <w:szCs w:val="20"/>
              </w:rPr>
            </w:pPr>
            <w:r w:rsidRPr="00D03B0B">
              <w:rPr>
                <w:rFonts w:ascii="Times New Roman" w:eastAsia="Times New Roman" w:hAnsi="Times New Roman" w:cs="Times New Roman"/>
                <w:b/>
                <w:color w:val="4A86E8"/>
                <w:sz w:val="20"/>
                <w:szCs w:val="20"/>
              </w:rPr>
              <w:t>Документи та інформація, які підтверджують відповідність Учасника кваліфікаційним критеріям**</w:t>
            </w:r>
          </w:p>
        </w:tc>
      </w:tr>
      <w:tr w:rsidR="00D03B0B" w:rsidRPr="00D03B0B" w:rsidTr="00E31F64">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lastRenderedPageBreak/>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D03B0B" w:rsidRPr="00D03B0B" w:rsidRDefault="00D03B0B" w:rsidP="00D03B0B">
            <w:pPr>
              <w:spacing w:after="0" w:line="240" w:lineRule="auto"/>
              <w:ind w:left="885"/>
              <w:jc w:val="center"/>
              <w:rPr>
                <w:rFonts w:ascii="Times New Roman" w:eastAsia="Times New Roman" w:hAnsi="Times New Roman" w:cs="Times New Roman"/>
                <w:b/>
                <w:color w:val="4A86E8"/>
                <w:sz w:val="20"/>
                <w:szCs w:val="20"/>
              </w:rPr>
            </w:pPr>
            <w:r w:rsidRPr="00D03B0B">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та  лист- відгук від контрагента, з  підтвердженням виконання договірних забов`язань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w:t>
      </w:r>
      <w:r w:rsidR="00306E4D">
        <w:rPr>
          <w:rFonts w:ascii="Times New Roman" w:eastAsia="Times New Roman" w:hAnsi="Times New Roman" w:cs="Times New Roman"/>
          <w:color w:val="00B050"/>
          <w:sz w:val="20"/>
          <w:szCs w:val="20"/>
          <w:highlight w:val="white"/>
          <w:lang w:val="ru-RU"/>
        </w:rPr>
        <w:t>ивостей  (крім підпунктів 1 і 7</w:t>
      </w:r>
      <w:r w:rsidRPr="00DE590E">
        <w:rPr>
          <w:rFonts w:ascii="Times New Roman" w:eastAsia="Times New Roman" w:hAnsi="Times New Roman" w:cs="Times New Roman"/>
          <w:color w:val="00B050"/>
          <w:sz w:val="20"/>
          <w:szCs w:val="20"/>
          <w:highlight w:val="white"/>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6F439A" w:rsidRDefault="006F439A"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6F439A">
        <w:rPr>
          <w:rFonts w:ascii="Times New Roman" w:eastAsia="Times New Roman" w:hAnsi="Times New Roman" w:cs="Times New Roman"/>
          <w:sz w:val="20"/>
          <w:szCs w:val="20"/>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6F439A">
          <w:rPr>
            <w:rStyle w:val="a6"/>
            <w:rFonts w:ascii="Times New Roman" w:eastAsia="Times New Roman" w:hAnsi="Times New Roman" w:cs="Times New Roman"/>
            <w:sz w:val="20"/>
            <w:szCs w:val="20"/>
            <w:highlight w:val="white"/>
          </w:rPr>
          <w:t>підпунктах 3</w:t>
        </w:r>
      </w:hyperlink>
      <w:r w:rsidRPr="006F439A">
        <w:rPr>
          <w:rFonts w:ascii="Times New Roman" w:eastAsia="Times New Roman" w:hAnsi="Times New Roman" w:cs="Times New Roman"/>
          <w:sz w:val="20"/>
          <w:szCs w:val="20"/>
          <w:highlight w:val="white"/>
        </w:rPr>
        <w:t>, </w:t>
      </w:r>
      <w:hyperlink r:id="rId17" w:anchor="n620" w:history="1">
        <w:r w:rsidRPr="006F439A">
          <w:rPr>
            <w:rStyle w:val="a6"/>
            <w:rFonts w:ascii="Times New Roman" w:eastAsia="Times New Roman" w:hAnsi="Times New Roman" w:cs="Times New Roman"/>
            <w:sz w:val="20"/>
            <w:szCs w:val="20"/>
            <w:highlight w:val="white"/>
          </w:rPr>
          <w:t>5</w:t>
        </w:r>
      </w:hyperlink>
      <w:r w:rsidRPr="006F439A">
        <w:rPr>
          <w:rFonts w:ascii="Times New Roman" w:eastAsia="Times New Roman" w:hAnsi="Times New Roman" w:cs="Times New Roman"/>
          <w:sz w:val="20"/>
          <w:szCs w:val="20"/>
          <w:highlight w:val="white"/>
        </w:rPr>
        <w:t>, </w:t>
      </w:r>
      <w:hyperlink r:id="rId18" w:anchor="n621" w:history="1">
        <w:r w:rsidRPr="006F439A">
          <w:rPr>
            <w:rStyle w:val="a6"/>
            <w:rFonts w:ascii="Times New Roman" w:eastAsia="Times New Roman" w:hAnsi="Times New Roman" w:cs="Times New Roman"/>
            <w:sz w:val="20"/>
            <w:szCs w:val="20"/>
            <w:highlight w:val="white"/>
          </w:rPr>
          <w:t>6</w:t>
        </w:r>
      </w:hyperlink>
      <w:r w:rsidRPr="006F439A">
        <w:rPr>
          <w:rFonts w:ascii="Times New Roman" w:eastAsia="Times New Roman" w:hAnsi="Times New Roman" w:cs="Times New Roman"/>
          <w:sz w:val="20"/>
          <w:szCs w:val="20"/>
          <w:highlight w:val="white"/>
        </w:rPr>
        <w:t> і </w:t>
      </w:r>
      <w:hyperlink r:id="rId19" w:anchor="n627" w:history="1">
        <w:r w:rsidRPr="006F439A">
          <w:rPr>
            <w:rStyle w:val="a6"/>
            <w:rFonts w:ascii="Times New Roman" w:eastAsia="Times New Roman" w:hAnsi="Times New Roman" w:cs="Times New Roman"/>
            <w:sz w:val="20"/>
            <w:szCs w:val="20"/>
            <w:highlight w:val="white"/>
          </w:rPr>
          <w:t>12</w:t>
        </w:r>
      </w:hyperlink>
      <w:r w:rsidRPr="006F439A">
        <w:rPr>
          <w:rFonts w:ascii="Times New Roman" w:eastAsia="Times New Roman" w:hAnsi="Times New Roman" w:cs="Times New Roman"/>
          <w:sz w:val="20"/>
          <w:szCs w:val="20"/>
          <w:highlight w:val="white"/>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6F439A">
          <w:rPr>
            <w:rStyle w:val="a6"/>
            <w:rFonts w:ascii="Times New Roman" w:eastAsia="Times New Roman" w:hAnsi="Times New Roman" w:cs="Times New Roman"/>
            <w:sz w:val="20"/>
            <w:szCs w:val="20"/>
            <w:highlight w:val="white"/>
          </w:rPr>
          <w:t>Законом України</w:t>
        </w:r>
      </w:hyperlink>
      <w:r w:rsidRPr="006F439A">
        <w:rPr>
          <w:rFonts w:ascii="Times New Roman" w:eastAsia="Times New Roman" w:hAnsi="Times New Roman" w:cs="Times New Roman"/>
          <w:sz w:val="20"/>
          <w:szCs w:val="20"/>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6F439A">
        <w:rPr>
          <w:rFonts w:ascii="Times New Roman" w:eastAsia="Times New Roman" w:hAnsi="Times New Roman" w:cs="Times New Roman"/>
          <w:sz w:val="20"/>
          <w:szCs w:val="20"/>
          <w:highlight w:val="white"/>
        </w:rPr>
        <w:lastRenderedPageBreak/>
        <w:t>торгів.</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w:t>
            </w:r>
            <w:r w:rsidRPr="00306E4D">
              <w:rPr>
                <w:rFonts w:ascii="Times New Roman" w:eastAsia="Times New Roman" w:hAnsi="Times New Roman" w:cs="Times New Roman"/>
                <w:b/>
                <w:i/>
                <w:sz w:val="20"/>
                <w:szCs w:val="20"/>
                <w:highlight w:val="white"/>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306E4D">
              <w:rPr>
                <w:rFonts w:ascii="Times New Roman" w:eastAsia="Times New Roman" w:hAnsi="Times New Roman" w:cs="Times New Roman"/>
                <w:b/>
                <w:i/>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lastRenderedPageBreak/>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lastRenderedPageBreak/>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lastRenderedPageBreak/>
              <w:t xml:space="preserve">Контактний номер </w:t>
            </w:r>
            <w:r w:rsidRPr="00DE590E">
              <w:rPr>
                <w:rFonts w:ascii="Times New Roman" w:eastAsia="Times New Roman" w:hAnsi="Times New Roman" w:cs="Times New Roman"/>
                <w:b/>
                <w:color w:val="000000"/>
                <w:sz w:val="20"/>
                <w:szCs w:val="20"/>
                <w:lang w:eastAsia="zh-CN"/>
              </w:rPr>
              <w:lastRenderedPageBreak/>
              <w:t>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lastRenderedPageBreak/>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D8" w:rsidRDefault="000A61D8">
      <w:pPr>
        <w:spacing w:after="0" w:line="240" w:lineRule="auto"/>
      </w:pPr>
      <w:r>
        <w:separator/>
      </w:r>
    </w:p>
  </w:endnote>
  <w:endnote w:type="continuationSeparator" w:id="0">
    <w:p w:rsidR="000A61D8" w:rsidRDefault="000A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67" w:rsidRDefault="00FC50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3A9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67" w:rsidRDefault="00FC50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D8" w:rsidRDefault="000A61D8">
      <w:pPr>
        <w:spacing w:after="0" w:line="240" w:lineRule="auto"/>
      </w:pPr>
      <w:r>
        <w:separator/>
      </w:r>
    </w:p>
  </w:footnote>
  <w:footnote w:type="continuationSeparator" w:id="0">
    <w:p w:rsidR="000A61D8" w:rsidRDefault="000A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67" w:rsidRDefault="00FC506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8"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2"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8"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6"/>
  </w:num>
  <w:num w:numId="4">
    <w:abstractNumId w:val="23"/>
  </w:num>
  <w:num w:numId="5">
    <w:abstractNumId w:val="13"/>
  </w:num>
  <w:num w:numId="6">
    <w:abstractNumId w:val="21"/>
  </w:num>
  <w:num w:numId="7">
    <w:abstractNumId w:val="14"/>
  </w:num>
  <w:num w:numId="8">
    <w:abstractNumId w:val="12"/>
  </w:num>
  <w:num w:numId="9">
    <w:abstractNumId w:val="15"/>
  </w:num>
  <w:num w:numId="10">
    <w:abstractNumId w:val="4"/>
  </w:num>
  <w:num w:numId="11">
    <w:abstractNumId w:val="20"/>
  </w:num>
  <w:num w:numId="12">
    <w:abstractNumId w:val="8"/>
  </w:num>
  <w:num w:numId="13">
    <w:abstractNumId w:val="5"/>
  </w:num>
  <w:num w:numId="14">
    <w:abstractNumId w:val="6"/>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7"/>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4806"/>
    <w:rsid w:val="000050BA"/>
    <w:rsid w:val="00010749"/>
    <w:rsid w:val="00017B0C"/>
    <w:rsid w:val="00033A97"/>
    <w:rsid w:val="00040E66"/>
    <w:rsid w:val="00041876"/>
    <w:rsid w:val="000658C5"/>
    <w:rsid w:val="000738EF"/>
    <w:rsid w:val="000A61D8"/>
    <w:rsid w:val="000D1B74"/>
    <w:rsid w:val="000D7464"/>
    <w:rsid w:val="000E1EF6"/>
    <w:rsid w:val="000E6060"/>
    <w:rsid w:val="000E6C9E"/>
    <w:rsid w:val="000F0060"/>
    <w:rsid w:val="00103ED3"/>
    <w:rsid w:val="00145F65"/>
    <w:rsid w:val="0016302E"/>
    <w:rsid w:val="001745AA"/>
    <w:rsid w:val="00176FB5"/>
    <w:rsid w:val="001A2974"/>
    <w:rsid w:val="001B6C18"/>
    <w:rsid w:val="001F2C5D"/>
    <w:rsid w:val="002010EF"/>
    <w:rsid w:val="00211B9B"/>
    <w:rsid w:val="002221FC"/>
    <w:rsid w:val="00236194"/>
    <w:rsid w:val="00244558"/>
    <w:rsid w:val="00272652"/>
    <w:rsid w:val="00280A25"/>
    <w:rsid w:val="002A112F"/>
    <w:rsid w:val="002B3B0C"/>
    <w:rsid w:val="00306E4D"/>
    <w:rsid w:val="003179ED"/>
    <w:rsid w:val="00322326"/>
    <w:rsid w:val="00325ACD"/>
    <w:rsid w:val="00341F6C"/>
    <w:rsid w:val="00357954"/>
    <w:rsid w:val="00367982"/>
    <w:rsid w:val="00377B15"/>
    <w:rsid w:val="003839FB"/>
    <w:rsid w:val="003B2641"/>
    <w:rsid w:val="003D01E3"/>
    <w:rsid w:val="003D7C41"/>
    <w:rsid w:val="003E4D80"/>
    <w:rsid w:val="003F51B4"/>
    <w:rsid w:val="00401256"/>
    <w:rsid w:val="00406149"/>
    <w:rsid w:val="00452390"/>
    <w:rsid w:val="00465C69"/>
    <w:rsid w:val="00467814"/>
    <w:rsid w:val="00475954"/>
    <w:rsid w:val="00482B2F"/>
    <w:rsid w:val="00486CDA"/>
    <w:rsid w:val="004A2347"/>
    <w:rsid w:val="004B185F"/>
    <w:rsid w:val="004B7F19"/>
    <w:rsid w:val="00512978"/>
    <w:rsid w:val="0052302B"/>
    <w:rsid w:val="005341D7"/>
    <w:rsid w:val="005412C4"/>
    <w:rsid w:val="005415CA"/>
    <w:rsid w:val="0054327D"/>
    <w:rsid w:val="00544749"/>
    <w:rsid w:val="005450E3"/>
    <w:rsid w:val="005544B2"/>
    <w:rsid w:val="00556590"/>
    <w:rsid w:val="005623A2"/>
    <w:rsid w:val="005A1FD1"/>
    <w:rsid w:val="005D78D3"/>
    <w:rsid w:val="005D7A84"/>
    <w:rsid w:val="00605B48"/>
    <w:rsid w:val="0060755B"/>
    <w:rsid w:val="00625EF7"/>
    <w:rsid w:val="00634E4A"/>
    <w:rsid w:val="006A4062"/>
    <w:rsid w:val="006A64C7"/>
    <w:rsid w:val="006B379C"/>
    <w:rsid w:val="006C75BC"/>
    <w:rsid w:val="006D69AB"/>
    <w:rsid w:val="006F439A"/>
    <w:rsid w:val="007034F6"/>
    <w:rsid w:val="007055F4"/>
    <w:rsid w:val="0071602F"/>
    <w:rsid w:val="007225F6"/>
    <w:rsid w:val="007344FD"/>
    <w:rsid w:val="00734550"/>
    <w:rsid w:val="00743692"/>
    <w:rsid w:val="00770CBA"/>
    <w:rsid w:val="00786E41"/>
    <w:rsid w:val="00792145"/>
    <w:rsid w:val="007A411B"/>
    <w:rsid w:val="007A5ABA"/>
    <w:rsid w:val="007C4FBF"/>
    <w:rsid w:val="007D7228"/>
    <w:rsid w:val="007F09D7"/>
    <w:rsid w:val="00802C51"/>
    <w:rsid w:val="00820681"/>
    <w:rsid w:val="00823CCB"/>
    <w:rsid w:val="0083014A"/>
    <w:rsid w:val="00833D7F"/>
    <w:rsid w:val="008352E0"/>
    <w:rsid w:val="00837B2E"/>
    <w:rsid w:val="00840F27"/>
    <w:rsid w:val="00842552"/>
    <w:rsid w:val="00844E1D"/>
    <w:rsid w:val="008469D8"/>
    <w:rsid w:val="00847159"/>
    <w:rsid w:val="00866BFB"/>
    <w:rsid w:val="008E1235"/>
    <w:rsid w:val="008E26D7"/>
    <w:rsid w:val="008F215C"/>
    <w:rsid w:val="008F7DF4"/>
    <w:rsid w:val="00906BB1"/>
    <w:rsid w:val="00932444"/>
    <w:rsid w:val="00941D96"/>
    <w:rsid w:val="0094766D"/>
    <w:rsid w:val="00966B23"/>
    <w:rsid w:val="0097736A"/>
    <w:rsid w:val="00986D89"/>
    <w:rsid w:val="0099347A"/>
    <w:rsid w:val="009A3516"/>
    <w:rsid w:val="009A3988"/>
    <w:rsid w:val="009A5C6C"/>
    <w:rsid w:val="009B4C1A"/>
    <w:rsid w:val="009C7100"/>
    <w:rsid w:val="009F7133"/>
    <w:rsid w:val="00A02690"/>
    <w:rsid w:val="00A13C77"/>
    <w:rsid w:val="00A17503"/>
    <w:rsid w:val="00A3072B"/>
    <w:rsid w:val="00A3289E"/>
    <w:rsid w:val="00A3780A"/>
    <w:rsid w:val="00A4163A"/>
    <w:rsid w:val="00A41EFF"/>
    <w:rsid w:val="00A736C5"/>
    <w:rsid w:val="00A90062"/>
    <w:rsid w:val="00A9697C"/>
    <w:rsid w:val="00AA7045"/>
    <w:rsid w:val="00AB155C"/>
    <w:rsid w:val="00AB1620"/>
    <w:rsid w:val="00AB5138"/>
    <w:rsid w:val="00AC3057"/>
    <w:rsid w:val="00AD6A4C"/>
    <w:rsid w:val="00AE009C"/>
    <w:rsid w:val="00AF0636"/>
    <w:rsid w:val="00B4460F"/>
    <w:rsid w:val="00B44721"/>
    <w:rsid w:val="00B55F26"/>
    <w:rsid w:val="00B628DD"/>
    <w:rsid w:val="00B96E3E"/>
    <w:rsid w:val="00BB1EB5"/>
    <w:rsid w:val="00BB61FD"/>
    <w:rsid w:val="00BC3FC8"/>
    <w:rsid w:val="00BD52F6"/>
    <w:rsid w:val="00BE6075"/>
    <w:rsid w:val="00BE66B0"/>
    <w:rsid w:val="00BE71C6"/>
    <w:rsid w:val="00BE753C"/>
    <w:rsid w:val="00C27106"/>
    <w:rsid w:val="00C45BEB"/>
    <w:rsid w:val="00C552CA"/>
    <w:rsid w:val="00C75D6D"/>
    <w:rsid w:val="00C75F3E"/>
    <w:rsid w:val="00C9018E"/>
    <w:rsid w:val="00CA799D"/>
    <w:rsid w:val="00CB0C7A"/>
    <w:rsid w:val="00CB3035"/>
    <w:rsid w:val="00CD497E"/>
    <w:rsid w:val="00CF791C"/>
    <w:rsid w:val="00D03B0B"/>
    <w:rsid w:val="00D05A0A"/>
    <w:rsid w:val="00D06E7E"/>
    <w:rsid w:val="00D427DC"/>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64"/>
    <w:rsid w:val="00E31FE6"/>
    <w:rsid w:val="00E4583D"/>
    <w:rsid w:val="00E55DFB"/>
    <w:rsid w:val="00E63B7E"/>
    <w:rsid w:val="00E74AF3"/>
    <w:rsid w:val="00E77672"/>
    <w:rsid w:val="00E90C60"/>
    <w:rsid w:val="00EA2DC7"/>
    <w:rsid w:val="00EC21BF"/>
    <w:rsid w:val="00EC78BA"/>
    <w:rsid w:val="00EE7057"/>
    <w:rsid w:val="00EE7A08"/>
    <w:rsid w:val="00F10E25"/>
    <w:rsid w:val="00F16FE6"/>
    <w:rsid w:val="00F31137"/>
    <w:rsid w:val="00F5570C"/>
    <w:rsid w:val="00FA6CB2"/>
    <w:rsid w:val="00FB5DF5"/>
    <w:rsid w:val="00FC263D"/>
    <w:rsid w:val="00FC2A3E"/>
    <w:rsid w:val="00FC5067"/>
    <w:rsid w:val="00FE1A6B"/>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735A"/>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32</Pages>
  <Words>49337</Words>
  <Characters>28123</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106</cp:revision>
  <dcterms:created xsi:type="dcterms:W3CDTF">2023-06-01T07:16:00Z</dcterms:created>
  <dcterms:modified xsi:type="dcterms:W3CDTF">2024-04-26T12:32:00Z</dcterms:modified>
</cp:coreProperties>
</file>