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Pr="00603AEC"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71AC9" w:rsidRPr="00603AEC" w:rsidRDefault="001B416D" w:rsidP="00370756">
      <w:pPr>
        <w:jc w:val="center"/>
        <w:rPr>
          <w:rFonts w:ascii="Times New Roman" w:hAnsi="Times New Roman" w:cs="Times New Roman"/>
          <w:b/>
          <w:color w:val="000000"/>
          <w:sz w:val="24"/>
          <w:szCs w:val="24"/>
        </w:rPr>
      </w:pPr>
      <w:r w:rsidRPr="00FC7154">
        <w:rPr>
          <w:rFonts w:ascii="Times New Roman" w:hAnsi="Times New Roman" w:cs="Times New Roman"/>
          <w:b/>
          <w:bCs/>
          <w:sz w:val="24"/>
          <w:szCs w:val="24"/>
        </w:rPr>
        <w:t>ДК 021:2015 «Єдиний закупівельний словник» - 33690000-3«Лікарські засоби різні» (лабораторні реактиви та приладдя)</w:t>
      </w:r>
      <w:r>
        <w:rPr>
          <w:rFonts w:ascii="Times New Roman" w:hAnsi="Times New Roman" w:cs="Times New Roman"/>
          <w:b/>
          <w:bCs/>
          <w:sz w:val="24"/>
          <w:szCs w:val="24"/>
        </w:rPr>
        <w:t xml:space="preserve">, </w:t>
      </w:r>
      <w:r w:rsidRPr="003A3EAE">
        <w:rPr>
          <w:rFonts w:ascii="Times New Roman" w:hAnsi="Times New Roman" w:cs="Times New Roman"/>
          <w:b/>
          <w:bCs/>
          <w:sz w:val="24"/>
          <w:szCs w:val="24"/>
          <w:shd w:val="clear" w:color="auto" w:fill="FFFFFF"/>
        </w:rPr>
        <w:t>Класифікатор медичних виробів </w:t>
      </w:r>
      <w:r w:rsidRPr="003A3EAE">
        <w:rPr>
          <w:rStyle w:val="af7"/>
          <w:rFonts w:ascii="Times New Roman" w:hAnsi="Times New Roman" w:cs="Times New Roman"/>
          <w:b/>
          <w:bCs/>
          <w:i w:val="0"/>
          <w:iCs w:val="0"/>
          <w:sz w:val="24"/>
          <w:szCs w:val="24"/>
          <w:shd w:val="clear" w:color="auto" w:fill="FFFFFF"/>
        </w:rPr>
        <w:t>НК</w:t>
      </w:r>
      <w:r w:rsidRPr="003A3EAE">
        <w:rPr>
          <w:rFonts w:ascii="Times New Roman" w:hAnsi="Times New Roman" w:cs="Times New Roman"/>
          <w:b/>
          <w:bCs/>
          <w:sz w:val="24"/>
          <w:szCs w:val="24"/>
          <w:shd w:val="clear" w:color="auto" w:fill="FFFFFF"/>
        </w:rPr>
        <w:t> 024:2019</w:t>
      </w:r>
      <w:r w:rsidRPr="003A3EAE">
        <w:rPr>
          <w:rFonts w:ascii="Times New Roman" w:hAnsi="Times New Roman" w:cs="Times New Roman"/>
          <w:b/>
          <w:bCs/>
          <w:sz w:val="24"/>
          <w:szCs w:val="24"/>
        </w:rPr>
        <w:t xml:space="preserve"> - </w:t>
      </w:r>
      <w:r w:rsidRPr="00FC7154">
        <w:rPr>
          <w:rFonts w:ascii="Times New Roman" w:hAnsi="Times New Roman" w:cs="Times New Roman"/>
          <w:b/>
          <w:bCs/>
          <w:sz w:val="24"/>
          <w:szCs w:val="24"/>
        </w:rPr>
        <w:t>46237 Нестерильна пробірка; 42651 Буферний ізотонічний сольовий розчин, IVD;</w:t>
      </w:r>
      <w:r w:rsidRPr="003A3EAE">
        <w:rPr>
          <w:rFonts w:ascii="Times New Roman" w:hAnsi="Times New Roman" w:cs="Times New Roman"/>
          <w:b/>
          <w:bCs/>
          <w:sz w:val="24"/>
          <w:szCs w:val="24"/>
        </w:rPr>
        <w:t xml:space="preserve"> 47531 Одиночно-ферментний миючий</w:t>
      </w:r>
      <w:r>
        <w:rPr>
          <w:rFonts w:ascii="Times New Roman" w:hAnsi="Times New Roman" w:cs="Times New Roman"/>
          <w:b/>
          <w:bCs/>
          <w:sz w:val="24"/>
          <w:szCs w:val="24"/>
        </w:rPr>
        <w:t>;</w:t>
      </w:r>
      <w:r w:rsidRPr="003A3EAE">
        <w:rPr>
          <w:rFonts w:ascii="Times New Roman" w:hAnsi="Times New Roman" w:cs="Times New Roman"/>
          <w:b/>
          <w:bCs/>
          <w:sz w:val="24"/>
          <w:szCs w:val="24"/>
        </w:rPr>
        <w:t xml:space="preserve"> 61165 Реагент для лізису клітин крові ІВД</w:t>
      </w:r>
      <w:r>
        <w:rPr>
          <w:rFonts w:ascii="Times New Roman" w:hAnsi="Times New Roman" w:cs="Times New Roman"/>
          <w:b/>
          <w:bCs/>
          <w:sz w:val="24"/>
          <w:szCs w:val="24"/>
        </w:rPr>
        <w:t xml:space="preserve">; </w:t>
      </w:r>
      <w:r w:rsidRPr="003A3EAE">
        <w:rPr>
          <w:rFonts w:ascii="Times New Roman" w:hAnsi="Times New Roman" w:cs="Times New Roman"/>
          <w:b/>
          <w:bCs/>
          <w:sz w:val="24"/>
          <w:szCs w:val="24"/>
        </w:rPr>
        <w:t xml:space="preserve">42722 Розчин для калібрування/верифікації проточного </w:t>
      </w:r>
      <w:proofErr w:type="spellStart"/>
      <w:r w:rsidRPr="003A3EAE">
        <w:rPr>
          <w:rFonts w:ascii="Times New Roman" w:hAnsi="Times New Roman" w:cs="Times New Roman"/>
          <w:b/>
          <w:bCs/>
          <w:sz w:val="24"/>
          <w:szCs w:val="24"/>
        </w:rPr>
        <w:t>цитометра</w:t>
      </w:r>
      <w:proofErr w:type="spellEnd"/>
      <w:r w:rsidRPr="003A3EAE">
        <w:rPr>
          <w:rFonts w:ascii="Times New Roman" w:hAnsi="Times New Roman" w:cs="Times New Roman"/>
          <w:b/>
          <w:bCs/>
          <w:sz w:val="24"/>
          <w:szCs w:val="24"/>
        </w:rPr>
        <w:t>, IVD</w:t>
      </w:r>
      <w:r>
        <w:rPr>
          <w:rFonts w:ascii="Times New Roman" w:hAnsi="Times New Roman" w:cs="Times New Roman"/>
          <w:b/>
          <w:bCs/>
          <w:sz w:val="24"/>
          <w:szCs w:val="24"/>
        </w:rPr>
        <w:t xml:space="preserve">; </w:t>
      </w:r>
      <w:r w:rsidRPr="003A3EAE">
        <w:rPr>
          <w:rFonts w:ascii="Times New Roman" w:hAnsi="Times New Roman" w:cs="Times New Roman"/>
          <w:b/>
          <w:bCs/>
          <w:sz w:val="24"/>
          <w:szCs w:val="24"/>
        </w:rPr>
        <w:t xml:space="preserve">56917 </w:t>
      </w:r>
      <w:proofErr w:type="spellStart"/>
      <w:r w:rsidRPr="003A3EAE">
        <w:rPr>
          <w:rFonts w:ascii="Times New Roman" w:hAnsi="Times New Roman" w:cs="Times New Roman"/>
          <w:b/>
          <w:bCs/>
          <w:sz w:val="24"/>
          <w:szCs w:val="24"/>
        </w:rPr>
        <w:t>Числені</w:t>
      </w:r>
      <w:proofErr w:type="spellEnd"/>
      <w:r w:rsidRPr="003A3EAE">
        <w:rPr>
          <w:rFonts w:ascii="Times New Roman" w:hAnsi="Times New Roman" w:cs="Times New Roman"/>
          <w:b/>
          <w:bCs/>
          <w:sz w:val="24"/>
          <w:szCs w:val="24"/>
        </w:rPr>
        <w:t xml:space="preserve"> CD-клітинні маркери ІВД, антитіла</w:t>
      </w:r>
      <w:r>
        <w:rPr>
          <w:rFonts w:ascii="Times New Roman" w:hAnsi="Times New Roman" w:cs="Times New Roman"/>
          <w:b/>
          <w:bCs/>
          <w:sz w:val="24"/>
          <w:szCs w:val="24"/>
        </w:rPr>
        <w:t xml:space="preserve"> тощо </w:t>
      </w:r>
      <w:r w:rsidRPr="00B81139">
        <w:rPr>
          <w:rFonts w:ascii="Times New Roman" w:hAnsi="Times New Roman" w:cs="Times New Roman"/>
          <w:sz w:val="24"/>
          <w:szCs w:val="24"/>
        </w:rPr>
        <w:t xml:space="preserve"> </w:t>
      </w:r>
    </w:p>
    <w:tbl>
      <w:tblPr>
        <w:tblW w:w="9905" w:type="dxa"/>
        <w:tblLayout w:type="fixed"/>
        <w:tblLook w:val="04A0" w:firstRow="1" w:lastRow="0" w:firstColumn="1" w:lastColumn="0" w:noHBand="0" w:noVBand="1"/>
      </w:tblPr>
      <w:tblGrid>
        <w:gridCol w:w="560"/>
        <w:gridCol w:w="5100"/>
        <w:gridCol w:w="851"/>
        <w:gridCol w:w="709"/>
        <w:gridCol w:w="2685"/>
      </w:tblGrid>
      <w:tr w:rsidR="001B416D" w:rsidRPr="001B416D" w:rsidTr="001B416D">
        <w:trPr>
          <w:trHeight w:val="408"/>
        </w:trPr>
        <w:tc>
          <w:tcPr>
            <w:tcW w:w="560" w:type="dxa"/>
            <w:vMerge w:val="restart"/>
            <w:tcBorders>
              <w:top w:val="single" w:sz="8" w:space="0" w:color="auto"/>
              <w:left w:val="single" w:sz="8" w:space="0" w:color="auto"/>
              <w:bottom w:val="single" w:sz="4" w:space="0" w:color="auto"/>
              <w:right w:val="single" w:sz="4" w:space="0" w:color="auto"/>
            </w:tcBorders>
            <w:shd w:val="clear" w:color="000000" w:fill="EEEEEE"/>
            <w:noWrap/>
            <w:vAlign w:val="center"/>
            <w:hideMark/>
          </w:tcPr>
          <w:p w:rsidR="001B416D" w:rsidRPr="001B416D" w:rsidRDefault="001B416D" w:rsidP="001B416D">
            <w:pPr>
              <w:spacing w:after="0" w:line="240" w:lineRule="auto"/>
              <w:jc w:val="center"/>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w:t>
            </w:r>
          </w:p>
        </w:tc>
        <w:tc>
          <w:tcPr>
            <w:tcW w:w="5100" w:type="dxa"/>
            <w:vMerge w:val="restart"/>
            <w:tcBorders>
              <w:top w:val="single" w:sz="8" w:space="0" w:color="auto"/>
              <w:left w:val="single" w:sz="4" w:space="0" w:color="auto"/>
              <w:bottom w:val="single" w:sz="4" w:space="0" w:color="auto"/>
              <w:right w:val="single" w:sz="4" w:space="0" w:color="auto"/>
            </w:tcBorders>
            <w:shd w:val="clear" w:color="000000" w:fill="EEEEEE"/>
            <w:noWrap/>
            <w:vAlign w:val="center"/>
            <w:hideMark/>
          </w:tcPr>
          <w:p w:rsidR="001B416D" w:rsidRPr="001B416D" w:rsidRDefault="001B416D" w:rsidP="001B416D">
            <w:pPr>
              <w:spacing w:after="0" w:line="240" w:lineRule="auto"/>
              <w:jc w:val="center"/>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Найменування товару</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EEEEEE"/>
            <w:vAlign w:val="center"/>
            <w:hideMark/>
          </w:tcPr>
          <w:p w:rsidR="001B416D" w:rsidRPr="001B416D" w:rsidRDefault="001B416D" w:rsidP="001B416D">
            <w:pPr>
              <w:spacing w:after="0" w:line="240" w:lineRule="auto"/>
              <w:jc w:val="center"/>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Кількість</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EEEEEE"/>
            <w:vAlign w:val="center"/>
            <w:hideMark/>
          </w:tcPr>
          <w:p w:rsidR="001B416D" w:rsidRPr="001B416D" w:rsidRDefault="001B416D" w:rsidP="001B416D">
            <w:pPr>
              <w:spacing w:after="0" w:line="240" w:lineRule="auto"/>
              <w:jc w:val="center"/>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Од. </w:t>
            </w:r>
            <w:proofErr w:type="spellStart"/>
            <w:r w:rsidRPr="001B416D">
              <w:rPr>
                <w:rFonts w:ascii="Times New Roman" w:eastAsia="Times New Roman" w:hAnsi="Times New Roman" w:cs="Times New Roman"/>
                <w:b/>
                <w:bCs/>
                <w:sz w:val="18"/>
                <w:szCs w:val="18"/>
              </w:rPr>
              <w:t>вим</w:t>
            </w:r>
            <w:proofErr w:type="spellEnd"/>
            <w:r w:rsidRPr="001B416D">
              <w:rPr>
                <w:rFonts w:ascii="Times New Roman" w:eastAsia="Times New Roman" w:hAnsi="Times New Roman" w:cs="Times New Roman"/>
                <w:b/>
                <w:bCs/>
                <w:sz w:val="18"/>
                <w:szCs w:val="18"/>
              </w:rPr>
              <w:t>.</w:t>
            </w:r>
          </w:p>
        </w:tc>
        <w:tc>
          <w:tcPr>
            <w:tcW w:w="2685" w:type="dxa"/>
            <w:vMerge w:val="restart"/>
            <w:tcBorders>
              <w:top w:val="single" w:sz="8" w:space="0" w:color="auto"/>
              <w:left w:val="single" w:sz="4" w:space="0" w:color="auto"/>
              <w:bottom w:val="single" w:sz="4" w:space="0" w:color="auto"/>
              <w:right w:val="single" w:sz="8" w:space="0" w:color="auto"/>
            </w:tcBorders>
            <w:shd w:val="clear" w:color="000000" w:fill="DBDBDB"/>
            <w:hideMark/>
          </w:tcPr>
          <w:p w:rsidR="001B416D" w:rsidRPr="001B416D" w:rsidRDefault="001B416D" w:rsidP="001B416D">
            <w:pPr>
              <w:spacing w:after="0" w:line="240" w:lineRule="auto"/>
              <w:jc w:val="center"/>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Код НК 024:2019</w:t>
            </w:r>
          </w:p>
        </w:tc>
      </w:tr>
      <w:tr w:rsidR="001B416D" w:rsidRPr="001B416D" w:rsidTr="001B416D">
        <w:trPr>
          <w:trHeight w:val="408"/>
        </w:trPr>
        <w:tc>
          <w:tcPr>
            <w:tcW w:w="560" w:type="dxa"/>
            <w:vMerge/>
            <w:tcBorders>
              <w:top w:val="single" w:sz="8" w:space="0" w:color="auto"/>
              <w:left w:val="single" w:sz="8" w:space="0" w:color="auto"/>
              <w:bottom w:val="single" w:sz="4" w:space="0" w:color="auto"/>
              <w:right w:val="single" w:sz="4" w:space="0" w:color="auto"/>
            </w:tcBorders>
            <w:vAlign w:val="center"/>
            <w:hideMark/>
          </w:tcPr>
          <w:p w:rsidR="001B416D" w:rsidRPr="001B416D" w:rsidRDefault="001B416D" w:rsidP="001B416D">
            <w:pPr>
              <w:spacing w:after="0" w:line="240" w:lineRule="auto"/>
              <w:rPr>
                <w:rFonts w:ascii="Times New Roman" w:eastAsia="Times New Roman" w:hAnsi="Times New Roman" w:cs="Times New Roman"/>
                <w:b/>
                <w:bCs/>
                <w:sz w:val="18"/>
                <w:szCs w:val="18"/>
              </w:rPr>
            </w:pPr>
          </w:p>
        </w:tc>
        <w:tc>
          <w:tcPr>
            <w:tcW w:w="5100" w:type="dxa"/>
            <w:vMerge/>
            <w:tcBorders>
              <w:top w:val="single" w:sz="8" w:space="0" w:color="auto"/>
              <w:left w:val="single" w:sz="4" w:space="0" w:color="auto"/>
              <w:bottom w:val="single" w:sz="4" w:space="0" w:color="auto"/>
              <w:right w:val="single" w:sz="4" w:space="0" w:color="auto"/>
            </w:tcBorders>
            <w:vAlign w:val="center"/>
            <w:hideMark/>
          </w:tcPr>
          <w:p w:rsidR="001B416D" w:rsidRPr="001B416D" w:rsidRDefault="001B416D" w:rsidP="001B416D">
            <w:pPr>
              <w:spacing w:after="0" w:line="240" w:lineRule="auto"/>
              <w:rPr>
                <w:rFonts w:ascii="Times New Roman" w:eastAsia="Times New Roman" w:hAnsi="Times New Roman" w:cs="Times New Roman"/>
                <w:b/>
                <w:bCs/>
                <w:sz w:val="18"/>
                <w:szCs w:val="18"/>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1B416D" w:rsidRPr="001B416D" w:rsidRDefault="001B416D" w:rsidP="001B416D">
            <w:pPr>
              <w:spacing w:after="0" w:line="240" w:lineRule="auto"/>
              <w:rPr>
                <w:rFonts w:ascii="Times New Roman" w:eastAsia="Times New Roman" w:hAnsi="Times New Roman" w:cs="Times New Roman"/>
                <w:b/>
                <w:bCs/>
                <w:sz w:val="18"/>
                <w:szCs w:val="18"/>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1B416D" w:rsidRPr="001B416D" w:rsidRDefault="001B416D" w:rsidP="001B416D">
            <w:pPr>
              <w:spacing w:after="0" w:line="240" w:lineRule="auto"/>
              <w:rPr>
                <w:rFonts w:ascii="Times New Roman" w:eastAsia="Times New Roman" w:hAnsi="Times New Roman" w:cs="Times New Roman"/>
                <w:b/>
                <w:bCs/>
                <w:sz w:val="18"/>
                <w:szCs w:val="18"/>
              </w:rPr>
            </w:pPr>
          </w:p>
        </w:tc>
        <w:tc>
          <w:tcPr>
            <w:tcW w:w="2685" w:type="dxa"/>
            <w:vMerge/>
            <w:tcBorders>
              <w:top w:val="single" w:sz="8" w:space="0" w:color="auto"/>
              <w:left w:val="single" w:sz="4" w:space="0" w:color="auto"/>
              <w:bottom w:val="single" w:sz="4" w:space="0" w:color="auto"/>
              <w:right w:val="single" w:sz="8" w:space="0" w:color="auto"/>
            </w:tcBorders>
            <w:vAlign w:val="center"/>
            <w:hideMark/>
          </w:tcPr>
          <w:p w:rsidR="001B416D" w:rsidRPr="001B416D" w:rsidRDefault="001B416D" w:rsidP="001B416D">
            <w:pPr>
              <w:spacing w:after="0" w:line="240" w:lineRule="auto"/>
              <w:rPr>
                <w:rFonts w:ascii="Times New Roman" w:eastAsia="Times New Roman" w:hAnsi="Times New Roman" w:cs="Times New Roman"/>
                <w:b/>
                <w:bCs/>
                <w:sz w:val="18"/>
                <w:szCs w:val="18"/>
              </w:rPr>
            </w:pPr>
          </w:p>
        </w:tc>
      </w:tr>
      <w:tr w:rsidR="001B416D" w:rsidRPr="001B416D" w:rsidTr="001B416D">
        <w:trPr>
          <w:trHeight w:val="240"/>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LAB EQUIP, TEST TUBE, 12 х 75 mm, POLYPROPYLENE (250/PK)   Тестові пробірки ЛАБ ЕКВІП, 12 x 75 мм (mm), поліпропілен (250шт/</w:t>
            </w:r>
            <w:proofErr w:type="spellStart"/>
            <w:r w:rsidRPr="001B416D">
              <w:rPr>
                <w:rFonts w:ascii="Times New Roman" w:eastAsia="Times New Roman" w:hAnsi="Times New Roman" w:cs="Times New Roman"/>
                <w:sz w:val="18"/>
                <w:szCs w:val="18"/>
              </w:rPr>
              <w:t>упак</w:t>
            </w:r>
            <w:proofErr w:type="spellEnd"/>
            <w:r w:rsidRPr="001B416D">
              <w:rPr>
                <w:rFonts w:ascii="Times New Roman" w:eastAsia="Times New Roman" w:hAnsi="Times New Roman" w:cs="Times New Roman"/>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6</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пач</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46237 Нестерильна пробірка</w:t>
            </w:r>
          </w:p>
        </w:tc>
      </w:tr>
      <w:tr w:rsidR="001B416D" w:rsidRPr="001B416D" w:rsidTr="001B416D">
        <w:trPr>
          <w:trHeight w:val="88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2</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 xml:space="preserve">ISOFLOW </w:t>
            </w:r>
            <w:proofErr w:type="spellStart"/>
            <w:r w:rsidRPr="001B416D">
              <w:rPr>
                <w:rFonts w:ascii="Times New Roman" w:eastAsia="Times New Roman" w:hAnsi="Times New Roman" w:cs="Times New Roman"/>
                <w:sz w:val="18"/>
                <w:szCs w:val="18"/>
              </w:rPr>
              <w:t>Sheath</w:t>
            </w:r>
            <w:proofErr w:type="spellEnd"/>
            <w:r w:rsidRPr="001B416D">
              <w:rPr>
                <w:rFonts w:ascii="Times New Roman" w:eastAsia="Times New Roman" w:hAnsi="Times New Roman" w:cs="Times New Roman"/>
                <w:sz w:val="18"/>
                <w:szCs w:val="18"/>
              </w:rPr>
              <w:t xml:space="preserve"> </w:t>
            </w:r>
            <w:proofErr w:type="spellStart"/>
            <w:r w:rsidRPr="001B416D">
              <w:rPr>
                <w:rFonts w:ascii="Times New Roman" w:eastAsia="Times New Roman" w:hAnsi="Times New Roman" w:cs="Times New Roman"/>
                <w:sz w:val="18"/>
                <w:szCs w:val="18"/>
              </w:rPr>
              <w:t>Fluid</w:t>
            </w:r>
            <w:proofErr w:type="spellEnd"/>
            <w:r w:rsidRPr="001B416D">
              <w:rPr>
                <w:rFonts w:ascii="Times New Roman" w:eastAsia="Times New Roman" w:hAnsi="Times New Roman" w:cs="Times New Roman"/>
                <w:sz w:val="18"/>
                <w:szCs w:val="18"/>
              </w:rPr>
              <w:t xml:space="preserve"> (10L)   </w:t>
            </w:r>
            <w:proofErr w:type="spellStart"/>
            <w:r w:rsidRPr="001B416D">
              <w:rPr>
                <w:rFonts w:ascii="Times New Roman" w:eastAsia="Times New Roman" w:hAnsi="Times New Roman" w:cs="Times New Roman"/>
                <w:sz w:val="18"/>
                <w:szCs w:val="18"/>
              </w:rPr>
              <w:t>Обжимна</w:t>
            </w:r>
            <w:proofErr w:type="spellEnd"/>
            <w:r w:rsidRPr="001B416D">
              <w:rPr>
                <w:rFonts w:ascii="Times New Roman" w:eastAsia="Times New Roman" w:hAnsi="Times New Roman" w:cs="Times New Roman"/>
                <w:sz w:val="18"/>
                <w:szCs w:val="18"/>
              </w:rPr>
              <w:t xml:space="preserve"> рідина ISOFLOW (10 літрів)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2</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42651 Буферний ізотонічний сольовий розчин, IVD</w:t>
            </w:r>
          </w:p>
        </w:tc>
      </w:tr>
      <w:tr w:rsidR="001B416D" w:rsidRPr="001B416D" w:rsidTr="001B416D">
        <w:trPr>
          <w:trHeight w:val="240"/>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3</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 xml:space="preserve">COULTER CLENZ </w:t>
            </w:r>
            <w:proofErr w:type="spellStart"/>
            <w:r w:rsidRPr="001B416D">
              <w:rPr>
                <w:rFonts w:ascii="Times New Roman" w:eastAsia="Times New Roman" w:hAnsi="Times New Roman" w:cs="Times New Roman"/>
                <w:sz w:val="18"/>
                <w:szCs w:val="18"/>
              </w:rPr>
              <w:t>Cleaning</w:t>
            </w:r>
            <w:proofErr w:type="spellEnd"/>
            <w:r w:rsidRPr="001B416D">
              <w:rPr>
                <w:rFonts w:ascii="Times New Roman" w:eastAsia="Times New Roman" w:hAnsi="Times New Roman" w:cs="Times New Roman"/>
                <w:sz w:val="18"/>
                <w:szCs w:val="18"/>
              </w:rPr>
              <w:t xml:space="preserve"> </w:t>
            </w:r>
            <w:proofErr w:type="spellStart"/>
            <w:r w:rsidRPr="001B416D">
              <w:rPr>
                <w:rFonts w:ascii="Times New Roman" w:eastAsia="Times New Roman" w:hAnsi="Times New Roman" w:cs="Times New Roman"/>
                <w:sz w:val="18"/>
                <w:szCs w:val="18"/>
              </w:rPr>
              <w:t>Agent</w:t>
            </w:r>
            <w:proofErr w:type="spellEnd"/>
            <w:r w:rsidRPr="001B416D">
              <w:rPr>
                <w:rFonts w:ascii="Times New Roman" w:eastAsia="Times New Roman" w:hAnsi="Times New Roman" w:cs="Times New Roman"/>
                <w:sz w:val="18"/>
                <w:szCs w:val="18"/>
              </w:rPr>
              <w:t xml:space="preserve"> (5L)   Засіб для очищення COULTER CLENZ® (5 літрів)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47531 Одиночно-ферментний миючий засіб</w:t>
            </w:r>
          </w:p>
        </w:tc>
      </w:tr>
      <w:tr w:rsidR="001B416D" w:rsidRPr="001B416D" w:rsidTr="001B416D">
        <w:trPr>
          <w:trHeight w:val="720"/>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4</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3 </w:t>
            </w:r>
            <w:proofErr w:type="spellStart"/>
            <w:r w:rsidRPr="001B416D">
              <w:rPr>
                <w:rFonts w:ascii="Times New Roman" w:eastAsia="Times New Roman" w:hAnsi="Times New Roman" w:cs="Times New Roman"/>
                <w:sz w:val="18"/>
                <w:szCs w:val="18"/>
              </w:rPr>
              <w:t>Lysing</w:t>
            </w:r>
            <w:proofErr w:type="spellEnd"/>
            <w:r w:rsidRPr="001B416D">
              <w:rPr>
                <w:rFonts w:ascii="Times New Roman" w:eastAsia="Times New Roman" w:hAnsi="Times New Roman" w:cs="Times New Roman"/>
                <w:sz w:val="18"/>
                <w:szCs w:val="18"/>
              </w:rPr>
              <w:t xml:space="preserve"> </w:t>
            </w:r>
            <w:proofErr w:type="spellStart"/>
            <w:r w:rsidRPr="001B416D">
              <w:rPr>
                <w:rFonts w:ascii="Times New Roman" w:eastAsia="Times New Roman" w:hAnsi="Times New Roman" w:cs="Times New Roman"/>
                <w:sz w:val="18"/>
                <w:szCs w:val="18"/>
              </w:rPr>
              <w:t>Solution</w:t>
            </w:r>
            <w:proofErr w:type="spellEnd"/>
            <w:r w:rsidRPr="001B416D">
              <w:rPr>
                <w:rFonts w:ascii="Times New Roman" w:eastAsia="Times New Roman" w:hAnsi="Times New Roman" w:cs="Times New Roman"/>
                <w:sz w:val="18"/>
                <w:szCs w:val="18"/>
              </w:rPr>
              <w:t xml:space="preserve"> (10X)   </w:t>
            </w:r>
            <w:proofErr w:type="spellStart"/>
            <w:r w:rsidRPr="001B416D">
              <w:rPr>
                <w:rFonts w:ascii="Times New Roman" w:eastAsia="Times New Roman" w:hAnsi="Times New Roman" w:cs="Times New Roman"/>
                <w:sz w:val="18"/>
                <w:szCs w:val="18"/>
              </w:rPr>
              <w:t>Лізуючий</w:t>
            </w:r>
            <w:proofErr w:type="spellEnd"/>
            <w:r w:rsidRPr="001B416D">
              <w:rPr>
                <w:rFonts w:ascii="Times New Roman" w:eastAsia="Times New Roman" w:hAnsi="Times New Roman" w:cs="Times New Roman"/>
                <w:sz w:val="18"/>
                <w:szCs w:val="18"/>
              </w:rPr>
              <w:t xml:space="preserve"> розчин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3 (10x)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61165 Реагент для лізису клітин крові ІВД</w:t>
            </w:r>
          </w:p>
        </w:tc>
      </w:tr>
      <w:tr w:rsidR="001B416D" w:rsidRPr="001B416D" w:rsidTr="001B416D">
        <w:trPr>
          <w:trHeight w:val="732"/>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5</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OptiLyse</w:t>
            </w:r>
            <w:proofErr w:type="spellEnd"/>
            <w:r w:rsidRPr="001B416D">
              <w:rPr>
                <w:rFonts w:ascii="Times New Roman" w:eastAsia="Times New Roman" w:hAnsi="Times New Roman" w:cs="Times New Roman"/>
                <w:sz w:val="18"/>
                <w:szCs w:val="18"/>
              </w:rPr>
              <w:t xml:space="preserve"> C </w:t>
            </w:r>
            <w:proofErr w:type="spellStart"/>
            <w:r w:rsidRPr="001B416D">
              <w:rPr>
                <w:rFonts w:ascii="Times New Roman" w:eastAsia="Times New Roman" w:hAnsi="Times New Roman" w:cs="Times New Roman"/>
                <w:sz w:val="18"/>
                <w:szCs w:val="18"/>
              </w:rPr>
              <w:t>Lysing</w:t>
            </w:r>
            <w:proofErr w:type="spellEnd"/>
            <w:r w:rsidRPr="001B416D">
              <w:rPr>
                <w:rFonts w:ascii="Times New Roman" w:eastAsia="Times New Roman" w:hAnsi="Times New Roman" w:cs="Times New Roman"/>
                <w:sz w:val="18"/>
                <w:szCs w:val="18"/>
              </w:rPr>
              <w:t xml:space="preserve"> </w:t>
            </w:r>
            <w:proofErr w:type="spellStart"/>
            <w:r w:rsidRPr="001B416D">
              <w:rPr>
                <w:rFonts w:ascii="Times New Roman" w:eastAsia="Times New Roman" w:hAnsi="Times New Roman" w:cs="Times New Roman"/>
                <w:sz w:val="18"/>
                <w:szCs w:val="18"/>
              </w:rPr>
              <w:t>Solution</w:t>
            </w:r>
            <w:proofErr w:type="spellEnd"/>
            <w:r w:rsidRPr="001B416D">
              <w:rPr>
                <w:rFonts w:ascii="Times New Roman" w:eastAsia="Times New Roman" w:hAnsi="Times New Roman" w:cs="Times New Roman"/>
                <w:sz w:val="18"/>
                <w:szCs w:val="18"/>
              </w:rPr>
              <w:t xml:space="preserve">   </w:t>
            </w:r>
            <w:proofErr w:type="spellStart"/>
            <w:r w:rsidRPr="001B416D">
              <w:rPr>
                <w:rFonts w:ascii="Times New Roman" w:eastAsia="Times New Roman" w:hAnsi="Times New Roman" w:cs="Times New Roman"/>
                <w:sz w:val="18"/>
                <w:szCs w:val="18"/>
              </w:rPr>
              <w:t>Лізуючий</w:t>
            </w:r>
            <w:proofErr w:type="spellEnd"/>
            <w:r w:rsidRPr="001B416D">
              <w:rPr>
                <w:rFonts w:ascii="Times New Roman" w:eastAsia="Times New Roman" w:hAnsi="Times New Roman" w:cs="Times New Roman"/>
                <w:sz w:val="18"/>
                <w:szCs w:val="18"/>
              </w:rPr>
              <w:t xml:space="preserve"> розчин </w:t>
            </w:r>
            <w:proofErr w:type="spellStart"/>
            <w:r w:rsidRPr="001B416D">
              <w:rPr>
                <w:rFonts w:ascii="Times New Roman" w:eastAsia="Times New Roman" w:hAnsi="Times New Roman" w:cs="Times New Roman"/>
                <w:sz w:val="18"/>
                <w:szCs w:val="18"/>
              </w:rPr>
              <w:t>OptiLyse</w:t>
            </w:r>
            <w:proofErr w:type="spellEnd"/>
            <w:r w:rsidRPr="001B416D">
              <w:rPr>
                <w:rFonts w:ascii="Times New Roman" w:eastAsia="Times New Roman" w:hAnsi="Times New Roman" w:cs="Times New Roman"/>
                <w:sz w:val="18"/>
                <w:szCs w:val="18"/>
              </w:rPr>
              <w:t xml:space="preserve"> C (200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61165 Реагент для лізису клітин крові ІВД</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6</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 xml:space="preserve">FLOW CHECK </w:t>
            </w:r>
            <w:proofErr w:type="spellStart"/>
            <w:r w:rsidRPr="001B416D">
              <w:rPr>
                <w:rFonts w:ascii="Times New Roman" w:eastAsia="Times New Roman" w:hAnsi="Times New Roman" w:cs="Times New Roman"/>
                <w:sz w:val="18"/>
                <w:szCs w:val="18"/>
              </w:rPr>
              <w:t>fluorospheres</w:t>
            </w:r>
            <w:proofErr w:type="spellEnd"/>
            <w:r w:rsidRPr="001B416D">
              <w:rPr>
                <w:rFonts w:ascii="Times New Roman" w:eastAsia="Times New Roman" w:hAnsi="Times New Roman" w:cs="Times New Roman"/>
                <w:sz w:val="18"/>
                <w:szCs w:val="18"/>
              </w:rPr>
              <w:t xml:space="preserve">   </w:t>
            </w:r>
            <w:proofErr w:type="spellStart"/>
            <w:r w:rsidRPr="001B416D">
              <w:rPr>
                <w:rFonts w:ascii="Times New Roman" w:eastAsia="Times New Roman" w:hAnsi="Times New Roman" w:cs="Times New Roman"/>
                <w:sz w:val="18"/>
                <w:szCs w:val="18"/>
              </w:rPr>
              <w:t>Флюоросфери</w:t>
            </w:r>
            <w:proofErr w:type="spellEnd"/>
            <w:r w:rsidRPr="001B416D">
              <w:rPr>
                <w:rFonts w:ascii="Times New Roman" w:eastAsia="Times New Roman" w:hAnsi="Times New Roman" w:cs="Times New Roman"/>
                <w:sz w:val="18"/>
                <w:szCs w:val="18"/>
              </w:rPr>
              <w:t xml:space="preserve"> FLOW CHECK (3 х 10 мл)</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пач</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42722 Розчин для калібрування/верифікації проточного </w:t>
            </w:r>
            <w:proofErr w:type="spellStart"/>
            <w:r w:rsidRPr="001B416D">
              <w:rPr>
                <w:rFonts w:ascii="Times New Roman" w:eastAsia="Times New Roman" w:hAnsi="Times New Roman" w:cs="Times New Roman"/>
                <w:b/>
                <w:bCs/>
                <w:sz w:val="18"/>
                <w:szCs w:val="18"/>
              </w:rPr>
              <w:t>цитометра</w:t>
            </w:r>
            <w:proofErr w:type="spellEnd"/>
            <w:r w:rsidRPr="001B416D">
              <w:rPr>
                <w:rFonts w:ascii="Times New Roman" w:eastAsia="Times New Roman" w:hAnsi="Times New Roman" w:cs="Times New Roman"/>
                <w:b/>
                <w:bCs/>
                <w:sz w:val="18"/>
                <w:szCs w:val="18"/>
              </w:rPr>
              <w:t>, IVD</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7</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CD45-FITC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CD45-FITC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8</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CD3-FITC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CD3-FITC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9</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CD22-PE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CD22-PE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10</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CD20-FITC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CD20-FITC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11</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CD5-PE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CD5-PE (</w:t>
            </w:r>
            <w:proofErr w:type="spellStart"/>
            <w:r w:rsidRPr="001B416D">
              <w:rPr>
                <w:rFonts w:ascii="Times New Roman" w:eastAsia="Times New Roman" w:hAnsi="Times New Roman" w:cs="Times New Roman"/>
                <w:sz w:val="18"/>
                <w:szCs w:val="18"/>
              </w:rPr>
              <w:t>моноклональне</w:t>
            </w:r>
            <w:proofErr w:type="spellEnd"/>
            <w:r w:rsidRPr="001B416D">
              <w:rPr>
                <w:rFonts w:ascii="Times New Roman" w:eastAsia="Times New Roman" w:hAnsi="Times New Roman" w:cs="Times New Roman"/>
                <w:sz w:val="18"/>
                <w:szCs w:val="18"/>
              </w:rPr>
              <w:t xml:space="preserve"> антитіло,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12</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CD13-PE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CD13-PE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13</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CD34-PE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CD34-PE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14</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CD7-FITC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CD7-FITC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15</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CD27-PE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CD27-PE (</w:t>
            </w:r>
            <w:proofErr w:type="spellStart"/>
            <w:r w:rsidRPr="001B416D">
              <w:rPr>
                <w:rFonts w:ascii="Times New Roman" w:eastAsia="Times New Roman" w:hAnsi="Times New Roman" w:cs="Times New Roman"/>
                <w:sz w:val="18"/>
                <w:szCs w:val="18"/>
              </w:rPr>
              <w:t>моноклональне</w:t>
            </w:r>
            <w:proofErr w:type="spellEnd"/>
            <w:r w:rsidRPr="001B416D">
              <w:rPr>
                <w:rFonts w:ascii="Times New Roman" w:eastAsia="Times New Roman" w:hAnsi="Times New Roman" w:cs="Times New Roman"/>
                <w:sz w:val="18"/>
                <w:szCs w:val="18"/>
              </w:rPr>
              <w:t xml:space="preserve"> антитіло,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16</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CD56-PC7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CD56-PC7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17</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CD38-PE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CD38-PE (</w:t>
            </w:r>
            <w:proofErr w:type="spellStart"/>
            <w:r w:rsidRPr="001B416D">
              <w:rPr>
                <w:rFonts w:ascii="Times New Roman" w:eastAsia="Times New Roman" w:hAnsi="Times New Roman" w:cs="Times New Roman"/>
                <w:sz w:val="18"/>
                <w:szCs w:val="18"/>
              </w:rPr>
              <w:t>моноклональне</w:t>
            </w:r>
            <w:proofErr w:type="spellEnd"/>
            <w:r w:rsidRPr="001B416D">
              <w:rPr>
                <w:rFonts w:ascii="Times New Roman" w:eastAsia="Times New Roman" w:hAnsi="Times New Roman" w:cs="Times New Roman"/>
                <w:sz w:val="18"/>
                <w:szCs w:val="18"/>
              </w:rPr>
              <w:t xml:space="preserve"> антитіло,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18</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CD19-ECD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CD19-ECD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19</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CD4-PE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CD4-PE (</w:t>
            </w:r>
            <w:proofErr w:type="spellStart"/>
            <w:r w:rsidRPr="001B416D">
              <w:rPr>
                <w:rFonts w:ascii="Times New Roman" w:eastAsia="Times New Roman" w:hAnsi="Times New Roman" w:cs="Times New Roman"/>
                <w:sz w:val="18"/>
                <w:szCs w:val="18"/>
              </w:rPr>
              <w:t>моноклональне</w:t>
            </w:r>
            <w:proofErr w:type="spellEnd"/>
            <w:r w:rsidRPr="001B416D">
              <w:rPr>
                <w:rFonts w:ascii="Times New Roman" w:eastAsia="Times New Roman" w:hAnsi="Times New Roman" w:cs="Times New Roman"/>
                <w:sz w:val="18"/>
                <w:szCs w:val="18"/>
              </w:rPr>
              <w:t xml:space="preserve"> антитіло,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20</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CD38-FITC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CD38-FITC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21</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CD8-PC5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СD8-PC5 (</w:t>
            </w:r>
            <w:proofErr w:type="spellStart"/>
            <w:r w:rsidRPr="001B416D">
              <w:rPr>
                <w:rFonts w:ascii="Times New Roman" w:eastAsia="Times New Roman" w:hAnsi="Times New Roman" w:cs="Times New Roman"/>
                <w:sz w:val="18"/>
                <w:szCs w:val="18"/>
              </w:rPr>
              <w:t>моноклональне</w:t>
            </w:r>
            <w:proofErr w:type="spellEnd"/>
            <w:r w:rsidRPr="001B416D">
              <w:rPr>
                <w:rFonts w:ascii="Times New Roman" w:eastAsia="Times New Roman" w:hAnsi="Times New Roman" w:cs="Times New Roman"/>
                <w:sz w:val="18"/>
                <w:szCs w:val="18"/>
              </w:rPr>
              <w:t xml:space="preserve"> антитіло,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22</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CD14-FITC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CD14-FITC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lastRenderedPageBreak/>
              <w:t>23</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CD200-PC7 (50t.)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CD200-PC7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50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24</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CD45-PC7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CD45-PC7 (</w:t>
            </w:r>
            <w:proofErr w:type="spellStart"/>
            <w:r w:rsidRPr="001B416D">
              <w:rPr>
                <w:rFonts w:ascii="Times New Roman" w:eastAsia="Times New Roman" w:hAnsi="Times New Roman" w:cs="Times New Roman"/>
                <w:sz w:val="18"/>
                <w:szCs w:val="18"/>
              </w:rPr>
              <w:t>моноклональне</w:t>
            </w:r>
            <w:proofErr w:type="spellEnd"/>
            <w:r w:rsidRPr="001B416D">
              <w:rPr>
                <w:rFonts w:ascii="Times New Roman" w:eastAsia="Times New Roman" w:hAnsi="Times New Roman" w:cs="Times New Roman"/>
                <w:sz w:val="18"/>
                <w:szCs w:val="18"/>
              </w:rPr>
              <w:t xml:space="preserve"> антитіло,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25</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FMC7-FITC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Anti-FMC7-FITC (</w:t>
            </w:r>
            <w:proofErr w:type="spellStart"/>
            <w:r w:rsidRPr="001B416D">
              <w:rPr>
                <w:rFonts w:ascii="Times New Roman" w:eastAsia="Times New Roman" w:hAnsi="Times New Roman" w:cs="Times New Roman"/>
                <w:sz w:val="18"/>
                <w:szCs w:val="18"/>
              </w:rPr>
              <w:t>моноклональне</w:t>
            </w:r>
            <w:proofErr w:type="spellEnd"/>
            <w:r w:rsidRPr="001B416D">
              <w:rPr>
                <w:rFonts w:ascii="Times New Roman" w:eastAsia="Times New Roman" w:hAnsi="Times New Roman" w:cs="Times New Roman"/>
                <w:sz w:val="18"/>
                <w:szCs w:val="18"/>
              </w:rPr>
              <w:t xml:space="preserve"> антитіло,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26</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CD45-ECD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CD45-ECD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27</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CD2-FITC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CD2-FITC (</w:t>
            </w:r>
            <w:proofErr w:type="spellStart"/>
            <w:r w:rsidRPr="001B416D">
              <w:rPr>
                <w:rFonts w:ascii="Times New Roman" w:eastAsia="Times New Roman" w:hAnsi="Times New Roman" w:cs="Times New Roman"/>
                <w:sz w:val="18"/>
                <w:szCs w:val="18"/>
              </w:rPr>
              <w:t>моноклональне</w:t>
            </w:r>
            <w:proofErr w:type="spellEnd"/>
            <w:r w:rsidRPr="001B416D">
              <w:rPr>
                <w:rFonts w:ascii="Times New Roman" w:eastAsia="Times New Roman" w:hAnsi="Times New Roman" w:cs="Times New Roman"/>
                <w:sz w:val="18"/>
                <w:szCs w:val="18"/>
              </w:rPr>
              <w:t xml:space="preserve"> антитіло,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28</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CD57-FITC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CD57-FITC (</w:t>
            </w:r>
            <w:proofErr w:type="spellStart"/>
            <w:r w:rsidRPr="001B416D">
              <w:rPr>
                <w:rFonts w:ascii="Times New Roman" w:eastAsia="Times New Roman" w:hAnsi="Times New Roman" w:cs="Times New Roman"/>
                <w:sz w:val="18"/>
                <w:szCs w:val="18"/>
              </w:rPr>
              <w:t>моноклональне</w:t>
            </w:r>
            <w:proofErr w:type="spellEnd"/>
            <w:r w:rsidRPr="001B416D">
              <w:rPr>
                <w:rFonts w:ascii="Times New Roman" w:eastAsia="Times New Roman" w:hAnsi="Times New Roman" w:cs="Times New Roman"/>
                <w:sz w:val="18"/>
                <w:szCs w:val="18"/>
              </w:rPr>
              <w:t xml:space="preserve"> антитіло,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29</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CD16-PE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CD16-PE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08"/>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30</w:t>
            </w:r>
          </w:p>
        </w:tc>
        <w:tc>
          <w:tcPr>
            <w:tcW w:w="5100" w:type="dxa"/>
            <w:tcBorders>
              <w:top w:val="single" w:sz="4" w:space="0" w:color="auto"/>
              <w:left w:val="nil"/>
              <w:bottom w:val="single" w:sz="4"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CD3-ECD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CD3-ECD (</w:t>
            </w:r>
            <w:proofErr w:type="spellStart"/>
            <w:r w:rsidRPr="001B416D">
              <w:rPr>
                <w:rFonts w:ascii="Times New Roman" w:eastAsia="Times New Roman" w:hAnsi="Times New Roman" w:cs="Times New Roman"/>
                <w:sz w:val="18"/>
                <w:szCs w:val="18"/>
              </w:rPr>
              <w:t>моноклональні</w:t>
            </w:r>
            <w:proofErr w:type="spellEnd"/>
            <w:r w:rsidRPr="001B416D">
              <w:rPr>
                <w:rFonts w:ascii="Times New Roman" w:eastAsia="Times New Roman" w:hAnsi="Times New Roman" w:cs="Times New Roman"/>
                <w:sz w:val="18"/>
                <w:szCs w:val="18"/>
              </w:rPr>
              <w:t xml:space="preserve"> антитіла, 100 тестів)</w:t>
            </w:r>
          </w:p>
        </w:tc>
        <w:tc>
          <w:tcPr>
            <w:tcW w:w="851"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4"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r w:rsidR="001B416D" w:rsidRPr="001B416D" w:rsidTr="001B416D">
        <w:trPr>
          <w:trHeight w:val="420"/>
        </w:trPr>
        <w:tc>
          <w:tcPr>
            <w:tcW w:w="560" w:type="dxa"/>
            <w:tcBorders>
              <w:top w:val="single" w:sz="4" w:space="0" w:color="auto"/>
              <w:left w:val="single" w:sz="8" w:space="0" w:color="auto"/>
              <w:bottom w:val="single" w:sz="8"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31</w:t>
            </w:r>
          </w:p>
        </w:tc>
        <w:tc>
          <w:tcPr>
            <w:tcW w:w="5100" w:type="dxa"/>
            <w:tcBorders>
              <w:top w:val="single" w:sz="4" w:space="0" w:color="auto"/>
              <w:left w:val="nil"/>
              <w:bottom w:val="single" w:sz="8" w:space="0" w:color="auto"/>
              <w:right w:val="single" w:sz="4"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CD56-PC5   </w:t>
            </w:r>
            <w:proofErr w:type="spellStart"/>
            <w:r w:rsidRPr="001B416D">
              <w:rPr>
                <w:rFonts w:ascii="Times New Roman" w:eastAsia="Times New Roman" w:hAnsi="Times New Roman" w:cs="Times New Roman"/>
                <w:sz w:val="18"/>
                <w:szCs w:val="18"/>
              </w:rPr>
              <w:t>Кон’юговане</w:t>
            </w:r>
            <w:proofErr w:type="spellEnd"/>
            <w:r w:rsidRPr="001B416D">
              <w:rPr>
                <w:rFonts w:ascii="Times New Roman" w:eastAsia="Times New Roman" w:hAnsi="Times New Roman" w:cs="Times New Roman"/>
                <w:sz w:val="18"/>
                <w:szCs w:val="18"/>
              </w:rPr>
              <w:t xml:space="preserve"> антитіло </w:t>
            </w:r>
            <w:proofErr w:type="spellStart"/>
            <w:r w:rsidRPr="001B416D">
              <w:rPr>
                <w:rFonts w:ascii="Times New Roman" w:eastAsia="Times New Roman" w:hAnsi="Times New Roman" w:cs="Times New Roman"/>
                <w:sz w:val="18"/>
                <w:szCs w:val="18"/>
              </w:rPr>
              <w:t>IOTest</w:t>
            </w:r>
            <w:proofErr w:type="spellEnd"/>
            <w:r w:rsidRPr="001B416D">
              <w:rPr>
                <w:rFonts w:ascii="Times New Roman" w:eastAsia="Times New Roman" w:hAnsi="Times New Roman" w:cs="Times New Roman"/>
                <w:sz w:val="18"/>
                <w:szCs w:val="18"/>
              </w:rPr>
              <w:t xml:space="preserve"> CD56-PC5 (</w:t>
            </w:r>
            <w:proofErr w:type="spellStart"/>
            <w:r w:rsidRPr="001B416D">
              <w:rPr>
                <w:rFonts w:ascii="Times New Roman" w:eastAsia="Times New Roman" w:hAnsi="Times New Roman" w:cs="Times New Roman"/>
                <w:sz w:val="18"/>
                <w:szCs w:val="18"/>
              </w:rPr>
              <w:t>моноклональне</w:t>
            </w:r>
            <w:proofErr w:type="spellEnd"/>
            <w:r w:rsidRPr="001B416D">
              <w:rPr>
                <w:rFonts w:ascii="Times New Roman" w:eastAsia="Times New Roman" w:hAnsi="Times New Roman" w:cs="Times New Roman"/>
                <w:sz w:val="18"/>
                <w:szCs w:val="18"/>
              </w:rPr>
              <w:t xml:space="preserve"> антитіло, 100 тестів)</w:t>
            </w:r>
          </w:p>
        </w:tc>
        <w:tc>
          <w:tcPr>
            <w:tcW w:w="851" w:type="dxa"/>
            <w:tcBorders>
              <w:top w:val="single" w:sz="4" w:space="0" w:color="auto"/>
              <w:left w:val="nil"/>
              <w:bottom w:val="single" w:sz="8"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r w:rsidRPr="001B416D">
              <w:rPr>
                <w:rFonts w:ascii="Times New Roman" w:eastAsia="Times New Roman" w:hAnsi="Times New Roman" w:cs="Times New Roman"/>
                <w:sz w:val="18"/>
                <w:szCs w:val="18"/>
              </w:rPr>
              <w:t>1</w:t>
            </w:r>
          </w:p>
        </w:tc>
        <w:tc>
          <w:tcPr>
            <w:tcW w:w="709" w:type="dxa"/>
            <w:tcBorders>
              <w:top w:val="single" w:sz="4" w:space="0" w:color="auto"/>
              <w:left w:val="nil"/>
              <w:bottom w:val="single" w:sz="8" w:space="0" w:color="auto"/>
              <w:right w:val="single" w:sz="4" w:space="0" w:color="auto"/>
            </w:tcBorders>
            <w:shd w:val="clear" w:color="auto" w:fill="auto"/>
            <w:noWrap/>
            <w:hideMark/>
          </w:tcPr>
          <w:p w:rsidR="001B416D" w:rsidRPr="001B416D" w:rsidRDefault="001B416D" w:rsidP="001B416D">
            <w:pPr>
              <w:spacing w:after="0" w:line="240" w:lineRule="auto"/>
              <w:jc w:val="center"/>
              <w:rPr>
                <w:rFonts w:ascii="Times New Roman" w:eastAsia="Times New Roman" w:hAnsi="Times New Roman" w:cs="Times New Roman"/>
                <w:sz w:val="18"/>
                <w:szCs w:val="18"/>
              </w:rPr>
            </w:pPr>
            <w:proofErr w:type="spellStart"/>
            <w:r w:rsidRPr="001B416D">
              <w:rPr>
                <w:rFonts w:ascii="Times New Roman" w:eastAsia="Times New Roman" w:hAnsi="Times New Roman" w:cs="Times New Roman"/>
                <w:sz w:val="18"/>
                <w:szCs w:val="18"/>
              </w:rPr>
              <w:t>шт</w:t>
            </w:r>
            <w:proofErr w:type="spellEnd"/>
          </w:p>
        </w:tc>
        <w:tc>
          <w:tcPr>
            <w:tcW w:w="2685" w:type="dxa"/>
            <w:tcBorders>
              <w:top w:val="nil"/>
              <w:left w:val="nil"/>
              <w:bottom w:val="single" w:sz="8" w:space="0" w:color="auto"/>
              <w:right w:val="single" w:sz="8" w:space="0" w:color="auto"/>
            </w:tcBorders>
            <w:shd w:val="clear" w:color="auto" w:fill="auto"/>
            <w:hideMark/>
          </w:tcPr>
          <w:p w:rsidR="001B416D" w:rsidRPr="001B416D" w:rsidRDefault="001B416D" w:rsidP="001B416D">
            <w:pPr>
              <w:spacing w:after="0" w:line="240" w:lineRule="auto"/>
              <w:rPr>
                <w:rFonts w:ascii="Times New Roman" w:eastAsia="Times New Roman" w:hAnsi="Times New Roman" w:cs="Times New Roman"/>
                <w:b/>
                <w:bCs/>
                <w:sz w:val="18"/>
                <w:szCs w:val="18"/>
              </w:rPr>
            </w:pPr>
            <w:r w:rsidRPr="001B416D">
              <w:rPr>
                <w:rFonts w:ascii="Times New Roman" w:eastAsia="Times New Roman" w:hAnsi="Times New Roman" w:cs="Times New Roman"/>
                <w:b/>
                <w:bCs/>
                <w:sz w:val="18"/>
                <w:szCs w:val="18"/>
              </w:rPr>
              <w:t xml:space="preserve">56917 </w:t>
            </w:r>
            <w:proofErr w:type="spellStart"/>
            <w:r w:rsidRPr="001B416D">
              <w:rPr>
                <w:rFonts w:ascii="Times New Roman" w:eastAsia="Times New Roman" w:hAnsi="Times New Roman" w:cs="Times New Roman"/>
                <w:b/>
                <w:bCs/>
                <w:sz w:val="18"/>
                <w:szCs w:val="18"/>
              </w:rPr>
              <w:t>Числені</w:t>
            </w:r>
            <w:proofErr w:type="spellEnd"/>
            <w:r w:rsidRPr="001B416D">
              <w:rPr>
                <w:rFonts w:ascii="Times New Roman" w:eastAsia="Times New Roman" w:hAnsi="Times New Roman" w:cs="Times New Roman"/>
                <w:b/>
                <w:bCs/>
                <w:sz w:val="18"/>
                <w:szCs w:val="18"/>
              </w:rPr>
              <w:t xml:space="preserve"> CD-клітинні маркери ІВД, антитіла</w:t>
            </w:r>
          </w:p>
        </w:tc>
      </w:tr>
    </w:tbl>
    <w:p w:rsidR="000636DF" w:rsidRPr="000636DF" w:rsidRDefault="000636DF" w:rsidP="00370756">
      <w:pPr>
        <w:jc w:val="center"/>
        <w:rPr>
          <w:rFonts w:ascii="Times New Roman" w:hAnsi="Times New Roman" w:cs="Times New Roman"/>
          <w:color w:val="000000"/>
          <w:sz w:val="24"/>
          <w:szCs w:val="24"/>
        </w:rPr>
      </w:pPr>
    </w:p>
    <w:p w:rsidR="001B416D" w:rsidRPr="00FC0C18" w:rsidRDefault="001B416D" w:rsidP="001B416D">
      <w:pPr>
        <w:jc w:val="both"/>
        <w:rPr>
          <w:rFonts w:ascii="Times New Roman" w:hAnsi="Times New Roman" w:cs="Times New Roman"/>
          <w:i/>
          <w:sz w:val="18"/>
          <w:szCs w:val="18"/>
        </w:rPr>
      </w:pPr>
      <w:r w:rsidRPr="00FC0C18">
        <w:rPr>
          <w:rFonts w:ascii="Times New Roman" w:hAnsi="Times New Roman" w:cs="Times New Roman"/>
          <w:sz w:val="18"/>
          <w:szCs w:val="18"/>
        </w:rPr>
        <w:t>*</w:t>
      </w:r>
      <w:r w:rsidRPr="00FC0C18">
        <w:rPr>
          <w:rFonts w:ascii="Times New Roman" w:hAnsi="Times New Roman" w:cs="Times New Roman"/>
          <w:i/>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1B416D" w:rsidRPr="00FC0C18" w:rsidRDefault="001B416D" w:rsidP="001B416D">
      <w:pPr>
        <w:tabs>
          <w:tab w:val="left" w:pos="720"/>
        </w:tabs>
        <w:ind w:firstLine="540"/>
        <w:jc w:val="both"/>
        <w:rPr>
          <w:rFonts w:ascii="Times New Roman" w:hAnsi="Times New Roman" w:cs="Times New Roman"/>
        </w:rPr>
      </w:pPr>
      <w:r w:rsidRPr="00FC0C18">
        <w:rPr>
          <w:rFonts w:ascii="Times New Roman" w:hAnsi="Times New Roman" w:cs="Times New Roman"/>
        </w:rPr>
        <w:t>Не допускаються будь-які відхилення від наведеного в Специфікації переліку товару, а також порушення його нумерації. 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1B416D" w:rsidRPr="00FC0C18" w:rsidRDefault="001B416D" w:rsidP="001B416D">
      <w:pPr>
        <w:tabs>
          <w:tab w:val="left" w:pos="720"/>
        </w:tabs>
        <w:ind w:firstLine="540"/>
        <w:jc w:val="both"/>
        <w:rPr>
          <w:rFonts w:ascii="Times New Roman" w:hAnsi="Times New Roman" w:cs="Times New Roman"/>
        </w:rPr>
      </w:pPr>
      <w:r w:rsidRPr="00FC0C18">
        <w:rPr>
          <w:rFonts w:ascii="Times New Roman" w:hAnsi="Times New Roman" w:cs="Times New Roman"/>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1B416D" w:rsidRPr="00FC0C18" w:rsidRDefault="001B416D" w:rsidP="001B416D">
      <w:pPr>
        <w:ind w:firstLine="540"/>
        <w:contextualSpacing/>
        <w:jc w:val="both"/>
        <w:rPr>
          <w:rFonts w:ascii="Times New Roman" w:hAnsi="Times New Roman" w:cs="Times New Roman"/>
          <w:noProof/>
        </w:rPr>
      </w:pPr>
      <w:r w:rsidRPr="00FC0C18">
        <w:rPr>
          <w:rFonts w:ascii="Times New Roman" w:hAnsi="Times New Roman" w:cs="Times New Roman"/>
          <w:noProof/>
        </w:rPr>
        <w:t>- 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Ця вимога засвідчується гарантійним листом про надання під час поставки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при постачанні надати лист-пояснення, у якому буде міститися обгрунтування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1B416D" w:rsidRPr="00FC0C18" w:rsidRDefault="001B416D" w:rsidP="001B416D">
      <w:pPr>
        <w:tabs>
          <w:tab w:val="left" w:pos="-1985"/>
          <w:tab w:val="left" w:pos="-1560"/>
          <w:tab w:val="left" w:pos="-1418"/>
          <w:tab w:val="left" w:pos="153"/>
          <w:tab w:val="left" w:pos="284"/>
        </w:tabs>
        <w:ind w:firstLine="540"/>
        <w:jc w:val="both"/>
        <w:rPr>
          <w:rFonts w:ascii="Times New Roman" w:hAnsi="Times New Roman" w:cs="Times New Roman"/>
          <w:noProof/>
          <w:color w:val="000000"/>
        </w:rPr>
      </w:pPr>
      <w:r w:rsidRPr="00FC0C18">
        <w:rPr>
          <w:rFonts w:ascii="Times New Roman" w:hAnsi="Times New Roman" w:cs="Times New Roman"/>
          <w:noProof/>
        </w:rPr>
        <w:t>- на товар, що пропонується учасником, повинні бути надані і</w:t>
      </w:r>
      <w:r w:rsidRPr="00FC0C18">
        <w:rPr>
          <w:rFonts w:ascii="Times New Roman" w:hAnsi="Times New Roman" w:cs="Times New Roman"/>
          <w:noProof/>
          <w:color w:val="000000"/>
          <w:lang w:eastAsia="ru-RU"/>
        </w:rPr>
        <w:t xml:space="preserve">нформаційні матеріали: каталоги, </w:t>
      </w:r>
      <w:r w:rsidRPr="00FC0C18">
        <w:rPr>
          <w:rFonts w:ascii="Times New Roman" w:eastAsia="MS Mincho" w:hAnsi="Times New Roman" w:cs="Times New Roman"/>
          <w:bCs/>
          <w:noProof/>
          <w:lang w:eastAsia="ja-JP"/>
        </w:rPr>
        <w:t xml:space="preserve">та/або </w:t>
      </w:r>
      <w:r w:rsidRPr="00FC0C18">
        <w:rPr>
          <w:rFonts w:ascii="Times New Roman" w:hAnsi="Times New Roman" w:cs="Times New Roman"/>
          <w:noProof/>
          <w:color w:val="000000"/>
          <w:lang w:eastAsia="ru-RU"/>
        </w:rPr>
        <w:t xml:space="preserve">буклети, </w:t>
      </w:r>
      <w:r w:rsidRPr="00FC0C18">
        <w:rPr>
          <w:rFonts w:ascii="Times New Roman" w:eastAsia="MS Mincho" w:hAnsi="Times New Roman" w:cs="Times New Roman"/>
          <w:bCs/>
          <w:noProof/>
          <w:lang w:eastAsia="ja-JP"/>
        </w:rPr>
        <w:t xml:space="preserve">та/або копії </w:t>
      </w:r>
      <w:r w:rsidRPr="00FC0C18">
        <w:rPr>
          <w:rFonts w:ascii="Times New Roman" w:hAnsi="Times New Roman" w:cs="Times New Roman"/>
          <w:noProof/>
          <w:color w:val="000000"/>
          <w:lang w:eastAsia="ru-RU"/>
        </w:rPr>
        <w:t xml:space="preserve">інструкцій по застосуванню, </w:t>
      </w:r>
      <w:r w:rsidRPr="00FC0C18">
        <w:rPr>
          <w:rFonts w:ascii="Times New Roman" w:eastAsia="MS Mincho" w:hAnsi="Times New Roman" w:cs="Times New Roman"/>
          <w:bCs/>
          <w:noProof/>
          <w:lang w:eastAsia="ja-JP"/>
        </w:rPr>
        <w:t>та/або копії технічних паспортів, та/або інший документ, тощо</w:t>
      </w:r>
      <w:r w:rsidRPr="00FC0C18">
        <w:rPr>
          <w:rFonts w:ascii="Times New Roman" w:hAnsi="Times New Roman" w:cs="Times New Roman"/>
          <w:noProof/>
        </w:rPr>
        <w:t xml:space="preserve"> українською мовою</w:t>
      </w:r>
      <w:r w:rsidRPr="00FC0C18">
        <w:rPr>
          <w:rFonts w:ascii="Times New Roman" w:hAnsi="Times New Roman" w:cs="Times New Roman"/>
          <w:noProof/>
          <w:color w:val="000000"/>
        </w:rPr>
        <w:t>.</w:t>
      </w:r>
    </w:p>
    <w:p w:rsidR="001B416D" w:rsidRPr="00FC0C18" w:rsidRDefault="001B416D" w:rsidP="001B416D">
      <w:pPr>
        <w:ind w:firstLine="540"/>
        <w:contextualSpacing/>
        <w:jc w:val="both"/>
        <w:rPr>
          <w:rFonts w:ascii="Times New Roman" w:hAnsi="Times New Roman" w:cs="Times New Roman"/>
          <w:noProof/>
        </w:rPr>
      </w:pPr>
      <w:r w:rsidRPr="00FC0C18">
        <w:rPr>
          <w:rFonts w:ascii="Times New Roman" w:hAnsi="Times New Roman" w:cs="Times New Roman"/>
          <w:noProof/>
        </w:rPr>
        <w:t>- З метою запобігання закупівлі фальсифікатів та отримання гарaнтій на своєчасне постачання товару у кількості, якості та зі строками придатності, яких вимагає замовник, учасник надає гарaнтійний лист</w:t>
      </w:r>
      <w:r w:rsidRPr="00FC0C18">
        <w:rPr>
          <w:rFonts w:ascii="Times New Roman" w:hAnsi="Times New Roman" w:cs="Times New Roman"/>
          <w:noProof/>
          <w:lang w:val="uk"/>
        </w:rPr>
        <w:t xml:space="preserve"> ви</w:t>
      </w:r>
      <w:r w:rsidRPr="00FC0C18">
        <w:rPr>
          <w:rFonts w:ascii="Times New Roman" w:hAnsi="Times New Roman" w:cs="Times New Roman"/>
          <w:noProof/>
          <w:lang w:val="ru-RU"/>
        </w:rPr>
        <w:t>p</w:t>
      </w:r>
      <w:r w:rsidRPr="00FC0C18">
        <w:rPr>
          <w:rFonts w:ascii="Times New Roman" w:hAnsi="Times New Roman" w:cs="Times New Roman"/>
          <w:noProof/>
          <w:lang w:val="uk"/>
        </w:rPr>
        <w:t>обника або офіційно уповноваженого виробником представника (дилера, дистриб'ютора)</w:t>
      </w:r>
      <w:r w:rsidRPr="00FC0C18">
        <w:rPr>
          <w:rFonts w:ascii="Times New Roman" w:hAnsi="Times New Roman" w:cs="Times New Roman"/>
          <w:noProof/>
        </w:rPr>
        <w:t>, яким підтверджується можливість поставки запропонованого товару в необхідній кількості,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1B416D" w:rsidRPr="00FC0C18" w:rsidRDefault="001B416D" w:rsidP="001B416D">
      <w:pPr>
        <w:ind w:firstLine="540"/>
        <w:contextualSpacing/>
        <w:jc w:val="both"/>
        <w:rPr>
          <w:rFonts w:ascii="Times New Roman" w:hAnsi="Times New Roman" w:cs="Times New Roman"/>
          <w:noProof/>
        </w:rPr>
      </w:pPr>
      <w:r w:rsidRPr="00FC0C18">
        <w:rPr>
          <w:rFonts w:ascii="Times New Roman" w:hAnsi="Times New Roman" w:cs="Times New Roman"/>
          <w:noProof/>
        </w:rPr>
        <w:t xml:space="preserve">- </w:t>
      </w:r>
      <w:r w:rsidRPr="00FC0C18">
        <w:rPr>
          <w:rFonts w:ascii="Times New Roman" w:hAnsi="Times New Roman" w:cs="Times New Roman"/>
          <w:noProof/>
          <w:lang w:val="ru-RU"/>
        </w:rPr>
        <w:t>т</w:t>
      </w:r>
      <w:r w:rsidRPr="00FC0C18">
        <w:rPr>
          <w:rFonts w:ascii="Times New Roman" w:hAnsi="Times New Roman" w:cs="Times New Roman"/>
          <w:noProof/>
          <w:color w:val="000000"/>
          <w:shd w:val="clear" w:color="auto" w:fill="FFFFFF"/>
        </w:rPr>
        <w:t xml:space="preserve">ехнічні, якісні характеристики предмета закупівлі повинні передбачати необхідність застосування заходів із захисту довкілля. </w:t>
      </w:r>
      <w:r w:rsidRPr="00FC0C18">
        <w:rPr>
          <w:rFonts w:ascii="Times New Roman" w:hAnsi="Times New Roman" w:cs="Times New Roman"/>
          <w:noProof/>
        </w:rPr>
        <w:t>(учасник повинен надати гарантійний лист);</w:t>
      </w:r>
    </w:p>
    <w:p w:rsidR="001B416D" w:rsidRPr="00FC0C18" w:rsidRDefault="001B416D" w:rsidP="001B416D">
      <w:pPr>
        <w:tabs>
          <w:tab w:val="left" w:pos="720"/>
        </w:tabs>
        <w:ind w:firstLine="540"/>
        <w:jc w:val="both"/>
        <w:rPr>
          <w:rFonts w:ascii="Times New Roman" w:hAnsi="Times New Roman" w:cs="Times New Roman"/>
        </w:rPr>
      </w:pPr>
      <w:r w:rsidRPr="00FC0C18">
        <w:rPr>
          <w:rFonts w:ascii="Times New Roman" w:hAnsi="Times New Roman" w:cs="Times New Roman"/>
        </w:rPr>
        <w:t>- учасник повинен забезпечувати належні умови зберігання та транспортування  запропонованих товарів та у разі необхідності з забезпеченням умов «холодового ланцюга» (відповідно до вимог які вказані в інструкції виробника запропонованого товару) (учасник повинен надати гарантійний лист).</w:t>
      </w:r>
    </w:p>
    <w:p w:rsidR="001B416D" w:rsidRDefault="001B416D" w:rsidP="001B416D">
      <w:pPr>
        <w:spacing w:line="240" w:lineRule="auto"/>
        <w:ind w:firstLine="284"/>
        <w:contextualSpacing/>
        <w:jc w:val="both"/>
        <w:rPr>
          <w:rFonts w:ascii="Times New Roman" w:eastAsia="Times New Roman" w:hAnsi="Times New Roman" w:cs="Times New Roman"/>
          <w:i/>
          <w:sz w:val="24"/>
          <w:szCs w:val="24"/>
          <w:highlight w:val="white"/>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A25E4" w:rsidRDefault="00CA25E4" w:rsidP="00E1387F">
      <w:pPr>
        <w:shd w:val="clear" w:color="auto" w:fill="FFFFFF"/>
        <w:spacing w:after="0" w:line="240" w:lineRule="auto"/>
        <w:jc w:val="both"/>
        <w:rPr>
          <w:rFonts w:ascii="Times New Roman" w:eastAsia="Times New Roman" w:hAnsi="Times New Roman" w:cs="Times New Roman"/>
          <w:b/>
          <w:sz w:val="24"/>
          <w:szCs w:val="24"/>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CA25E4" w:rsidRPr="00CA25E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108"/>
        <w:gridCol w:w="1560"/>
        <w:gridCol w:w="1701"/>
        <w:gridCol w:w="1275"/>
        <w:gridCol w:w="993"/>
        <w:gridCol w:w="1275"/>
        <w:gridCol w:w="1134"/>
      </w:tblGrid>
      <w:tr w:rsidR="006A3DCD" w:rsidTr="006A3DCD">
        <w:trPr>
          <w:trHeight w:val="992"/>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108" w:type="dxa"/>
          </w:tcPr>
          <w:p w:rsidR="006A3DCD" w:rsidRPr="006A3DCD" w:rsidRDefault="006A3DCD">
            <w:pPr>
              <w:spacing w:after="0" w:line="240" w:lineRule="auto"/>
              <w:jc w:val="center"/>
              <w:rPr>
                <w:rFonts w:ascii="Times New Roman" w:eastAsia="Times New Roman" w:hAnsi="Times New Roman" w:cs="Times New Roman"/>
                <w:i/>
                <w:iCs/>
                <w:sz w:val="24"/>
                <w:szCs w:val="24"/>
                <w:highlight w:val="white"/>
              </w:rPr>
            </w:pPr>
            <w:r w:rsidRPr="006A3DCD">
              <w:rPr>
                <w:rFonts w:ascii="Times New Roman" w:eastAsia="Times New Roman" w:hAnsi="Times New Roman"/>
                <w:i/>
                <w:iCs/>
                <w:color w:val="000000" w:themeColor="text1"/>
                <w:sz w:val="24"/>
                <w:szCs w:val="24"/>
              </w:rPr>
              <w:t>МНН</w:t>
            </w: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701" w:type="dxa"/>
          </w:tcPr>
          <w:p w:rsidR="006A3DCD" w:rsidRPr="006A3DCD" w:rsidRDefault="006A3DCD">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(дозування)</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99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275"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134"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r w:rsidR="00C332AA">
              <w:rPr>
                <w:rFonts w:ascii="Times New Roman" w:eastAsia="Times New Roman" w:hAnsi="Times New Roman" w:cs="Times New Roman"/>
                <w:i/>
                <w:sz w:val="24"/>
                <w:szCs w:val="24"/>
                <w:highlight w:val="white"/>
              </w:rPr>
              <w:t>**</w:t>
            </w:r>
          </w:p>
        </w:tc>
      </w:tr>
      <w:tr w:rsidR="006A3DCD" w:rsidTr="006A3DCD">
        <w:trPr>
          <w:trHeight w:val="464"/>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108" w:type="dxa"/>
          </w:tcPr>
          <w:p w:rsidR="006A3DCD" w:rsidRDefault="006A3DCD">
            <w:pPr>
              <w:spacing w:after="0" w:line="240" w:lineRule="auto"/>
              <w:jc w:val="center"/>
              <w:rPr>
                <w:rFonts w:ascii="Times New Roman" w:eastAsia="Times New Roman" w:hAnsi="Times New Roman" w:cs="Times New Roman"/>
                <w:i/>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701" w:type="dxa"/>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99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134"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6A3DCD" w:rsidTr="006A3DCD">
        <w:trPr>
          <w:trHeight w:val="128"/>
        </w:trPr>
        <w:tc>
          <w:tcPr>
            <w:tcW w:w="65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08"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01"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27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99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7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34"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F2C46" w:rsidRDefault="003F2C46" w:rsidP="003F2C46">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F2C46" w:rsidRDefault="003F2C46" w:rsidP="003F2C46">
      <w:pPr>
        <w:shd w:val="clear" w:color="auto" w:fill="FFFFFF"/>
        <w:spacing w:after="0" w:line="240" w:lineRule="auto"/>
        <w:jc w:val="both"/>
        <w:rPr>
          <w:rFonts w:ascii="Times New Roman" w:eastAsia="Times New Roman" w:hAnsi="Times New Roman" w:cs="Times New Roman"/>
          <w:b/>
          <w:i/>
          <w:sz w:val="24"/>
          <w:szCs w:val="24"/>
        </w:rPr>
      </w:pPr>
    </w:p>
    <w:p w:rsidR="003F2C46" w:rsidRPr="006A3DCD" w:rsidRDefault="003F2C46" w:rsidP="003F2C46">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3F2C46" w:rsidRPr="00CA25E4" w:rsidRDefault="003F2C46" w:rsidP="003F2C46">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bookmarkStart w:id="1" w:name="_GoBack"/>
      <w:bookmarkEnd w:id="1"/>
    </w:p>
    <w:sectPr w:rsidR="006A3DCD" w:rsidRPr="00FD0B1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36DF"/>
    <w:rsid w:val="00093F48"/>
    <w:rsid w:val="000E5A98"/>
    <w:rsid w:val="00144120"/>
    <w:rsid w:val="001B416D"/>
    <w:rsid w:val="00205311"/>
    <w:rsid w:val="00213274"/>
    <w:rsid w:val="00217BAB"/>
    <w:rsid w:val="003103E2"/>
    <w:rsid w:val="00365BD9"/>
    <w:rsid w:val="00370756"/>
    <w:rsid w:val="00371AC9"/>
    <w:rsid w:val="003F2C46"/>
    <w:rsid w:val="00404206"/>
    <w:rsid w:val="00491977"/>
    <w:rsid w:val="004D71D2"/>
    <w:rsid w:val="00515551"/>
    <w:rsid w:val="005A6349"/>
    <w:rsid w:val="00603AEC"/>
    <w:rsid w:val="006078FE"/>
    <w:rsid w:val="00611226"/>
    <w:rsid w:val="006A3DCD"/>
    <w:rsid w:val="006F68CE"/>
    <w:rsid w:val="007A7F37"/>
    <w:rsid w:val="007B3967"/>
    <w:rsid w:val="0083240F"/>
    <w:rsid w:val="008334EF"/>
    <w:rsid w:val="00851C3E"/>
    <w:rsid w:val="008D4D34"/>
    <w:rsid w:val="00997FA1"/>
    <w:rsid w:val="009C5C80"/>
    <w:rsid w:val="009F067C"/>
    <w:rsid w:val="00A20DE1"/>
    <w:rsid w:val="00A57DF7"/>
    <w:rsid w:val="00BA79F2"/>
    <w:rsid w:val="00C05CED"/>
    <w:rsid w:val="00C332AA"/>
    <w:rsid w:val="00C332E7"/>
    <w:rsid w:val="00CA25E4"/>
    <w:rsid w:val="00D039EB"/>
    <w:rsid w:val="00D21A01"/>
    <w:rsid w:val="00D87E94"/>
    <w:rsid w:val="00DB2A54"/>
    <w:rsid w:val="00E1387F"/>
    <w:rsid w:val="00E20236"/>
    <w:rsid w:val="00EA0E3C"/>
    <w:rsid w:val="00EE37BA"/>
    <w:rsid w:val="00F0597C"/>
    <w:rsid w:val="00F25D55"/>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0B2B"/>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styleId="af7">
    <w:name w:val="Emphasis"/>
    <w:basedOn w:val="a0"/>
    <w:uiPriority w:val="20"/>
    <w:qFormat/>
    <w:rsid w:val="00BA7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3</Pages>
  <Words>6894</Words>
  <Characters>3931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11</cp:revision>
  <dcterms:created xsi:type="dcterms:W3CDTF">2023-03-05T19:15:00Z</dcterms:created>
  <dcterms:modified xsi:type="dcterms:W3CDTF">2023-03-15T09:22:00Z</dcterms:modified>
</cp:coreProperties>
</file>