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spacing w:before="0" w:after="0"/>
        <w:contextualSpacing/>
        <w:jc w:val="right"/>
        <w:rPr>
          <w:rFonts w:eastAsia="Times New Roman"/>
          <w:b/>
          <w:b/>
          <w:bCs/>
          <w:i/>
          <w:i/>
          <w:kern w:val="2"/>
          <w:sz w:val="22"/>
          <w:lang w:val="uk-UA" w:eastAsia="zh-CN"/>
        </w:rPr>
      </w:pPr>
      <w:r>
        <w:rPr>
          <w:rFonts w:eastAsia="Times New Roman"/>
          <w:b/>
          <w:bCs/>
          <w:i/>
          <w:kern w:val="2"/>
          <w:sz w:val="22"/>
          <w:lang w:val="uk-UA" w:eastAsia="zh-CN"/>
        </w:rPr>
      </w:r>
    </w:p>
    <w:p>
      <w:pPr>
        <w:pStyle w:val="Normal"/>
        <w:shd w:val="clear" w:color="auto" w:fill="FFFFFF" w:themeFill="background1"/>
        <w:spacing w:before="0" w:after="0"/>
        <w:contextualSpacing/>
        <w:jc w:val="right"/>
        <w:rPr>
          <w:rFonts w:eastAsia="Times New Roman"/>
          <w:b/>
          <w:b/>
          <w:bCs/>
          <w:i/>
          <w:i/>
          <w:kern w:val="2"/>
          <w:sz w:val="22"/>
          <w:lang w:val="uk-UA" w:eastAsia="zh-CN"/>
        </w:rPr>
      </w:pPr>
      <w:r>
        <w:rPr>
          <w:rFonts w:eastAsia="Times New Roman"/>
          <w:b/>
          <w:bCs/>
          <w:i/>
          <w:kern w:val="2"/>
          <w:sz w:val="22"/>
          <w:lang w:val="uk-UA" w:eastAsia="zh-CN"/>
        </w:rPr>
        <w:t>Додаток 3 до тендерної документації</w:t>
      </w:r>
    </w:p>
    <w:p>
      <w:pPr>
        <w:pStyle w:val="Normal"/>
        <w:widowControl w:val="false"/>
        <w:overflowPunct w:val="false"/>
        <w:jc w:val="right"/>
        <w:textAlignment w:val="baseline"/>
        <w:rPr>
          <w:rFonts w:eastAsia="Times New Roman"/>
          <w:b/>
          <w:b/>
          <w:bCs/>
          <w:color w:val="000000"/>
          <w:sz w:val="22"/>
          <w:szCs w:val="22"/>
          <w:lang w:val="uk-UA"/>
        </w:rPr>
      </w:pPr>
      <w:r>
        <w:rPr>
          <w:rFonts w:eastAsia="Times New Roman"/>
          <w:b/>
          <w:bCs/>
          <w:color w:val="000000"/>
          <w:sz w:val="22"/>
          <w:szCs w:val="22"/>
          <w:lang w:val="uk-UA"/>
        </w:rPr>
      </w:r>
    </w:p>
    <w:p>
      <w:pPr>
        <w:pStyle w:val="Normal"/>
        <w:widowControl w:val="false"/>
        <w:overflowPunct w:val="false"/>
        <w:jc w:val="center"/>
        <w:textAlignment w:val="baseline"/>
        <w:rPr>
          <w:rFonts w:eastAsia="Times New Roman"/>
          <w:b/>
          <w:b/>
          <w:bCs/>
          <w:color w:val="000000"/>
          <w:sz w:val="22"/>
          <w:szCs w:val="22"/>
          <w:lang w:val="uk-UA"/>
        </w:rPr>
      </w:pPr>
      <w:r>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pPr>
        <w:pStyle w:val="Normal"/>
        <w:jc w:val="center"/>
        <w:rPr>
          <w:b/>
          <w:b/>
          <w:bCs/>
          <w:lang w:val="uk-UA"/>
        </w:rPr>
      </w:pPr>
      <w:r>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pPr>
        <w:pStyle w:val="ListParagraph"/>
        <w:numPr>
          <w:ilvl w:val="0"/>
          <w:numId w:val="3"/>
        </w:numPr>
        <w:jc w:val="center"/>
        <w:rPr>
          <w:rFonts w:ascii="Times New Roman" w:hAnsi="Times New Roman"/>
          <w:b/>
          <w:b/>
          <w:sz w:val="24"/>
          <w:szCs w:val="24"/>
          <w:lang w:val="uk-UA"/>
        </w:rPr>
      </w:pPr>
      <w:r>
        <w:rPr>
          <w:rFonts w:ascii="Times New Roman" w:hAnsi="Times New Roman"/>
          <w:b/>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pPr>
        <w:pStyle w:val="Normal"/>
        <w:rPr>
          <w:lang w:val="uk-UA"/>
        </w:rPr>
      </w:pPr>
      <w:r>
        <w:rPr>
          <w:lang w:val="uk-UA"/>
        </w:rPr>
      </w:r>
    </w:p>
    <w:p>
      <w:pPr>
        <w:pStyle w:val="Normal"/>
        <w:spacing w:before="0" w:after="0"/>
        <w:ind w:firstLine="709"/>
        <w:jc w:val="both"/>
        <w:rPr>
          <w:shd w:fill="FFFFFF" w:val="clear"/>
          <w:lang w:val="uk-UA"/>
        </w:rPr>
      </w:pPr>
      <w:r>
        <w:rPr>
          <w:b/>
          <w:bCs/>
          <w:lang w:val="uk-UA"/>
        </w:rPr>
        <w:t>Найменування предмета закупівлі</w:t>
      </w:r>
      <w:r>
        <w:rPr>
          <w:bCs/>
          <w:lang w:val="uk-UA"/>
        </w:rPr>
        <w:t xml:space="preserve">: </w:t>
      </w:r>
      <w:r>
        <w:rPr>
          <w:b/>
          <w:bCs/>
          <w:sz w:val="24"/>
          <w:szCs w:val="24"/>
          <w:lang w:val="uk-UA"/>
        </w:rPr>
        <w:t xml:space="preserve">Поточний ремонт покрівлі корпусу А1 </w:t>
      </w:r>
      <w:r>
        <w:rPr>
          <w:b/>
          <w:sz w:val="24"/>
          <w:szCs w:val="24"/>
          <w:lang w:val="uk-UA"/>
        </w:rPr>
        <w:t xml:space="preserve">Вознесенської загальноосвітної школи І-ІІІ ступеня №5 </w:t>
      </w:r>
      <w:r>
        <w:rPr>
          <w:rFonts w:eastAsia="Times New Roman"/>
          <w:b/>
          <w:sz w:val="24"/>
          <w:szCs w:val="24"/>
          <w:lang w:val="uk-UA"/>
        </w:rPr>
        <w:t xml:space="preserve">Вознесенської міської ради по вул.Матросова, 205, в м.Вознесенськ Миколаївської області (ДК 021:2015 «Єдиний закупівельний словник»:45260000-7 </w:t>
      </w:r>
      <w:r>
        <w:rPr>
          <w:rFonts w:eastAsia="Times New Roman"/>
          <w:b/>
          <w:bCs/>
          <w:sz w:val="24"/>
          <w:szCs w:val="24"/>
          <w:shd w:fill="FFFFFF" w:val="clear"/>
          <w:lang w:val="uk-UA"/>
        </w:rPr>
        <w:t>— Покрівельні роботи та інші спеціалізовані будівельні роботи).</w:t>
      </w:r>
    </w:p>
    <w:p>
      <w:pPr>
        <w:pStyle w:val="Normal"/>
        <w:ind w:right="132" w:firstLine="709"/>
        <w:jc w:val="both"/>
        <w:rPr>
          <w:b/>
          <w:b/>
          <w:lang w:val="uk-UA"/>
        </w:rPr>
      </w:pPr>
      <w:r>
        <w:rPr>
          <w:b/>
          <w:lang w:val="uk-UA"/>
        </w:rPr>
        <w:t xml:space="preserve">Місце виконання:  </w:t>
      </w:r>
      <w:r>
        <w:rPr>
          <w:rFonts w:eastAsia="Times New Roman" w:cs="Times New Roman"/>
          <w:b/>
          <w:sz w:val="24"/>
          <w:szCs w:val="24"/>
          <w:shd w:fill="FFFFFF" w:val="clear"/>
          <w:lang w:val="uk-UA"/>
        </w:rPr>
        <w:t>вул. Матросова, буд. 205, м. Вознесенськ, Миколаївська обл., 5650</w:t>
      </w:r>
      <w:r>
        <w:rPr>
          <w:rFonts w:eastAsia="Times New Roman" w:cs="Times New Roman"/>
          <w:b/>
          <w:sz w:val="24"/>
          <w:szCs w:val="24"/>
          <w:shd w:fill="auto" w:val="clear"/>
          <w:lang w:val="uk-UA"/>
        </w:rPr>
        <w:t>0.</w:t>
      </w:r>
    </w:p>
    <w:p>
      <w:pPr>
        <w:pStyle w:val="Normal"/>
        <w:widowControl w:val="false"/>
        <w:spacing w:before="0" w:after="120"/>
        <w:ind w:firstLine="709"/>
        <w:jc w:val="both"/>
        <w:rPr>
          <w:b/>
          <w:b/>
          <w:lang w:val="uk-UA"/>
        </w:rPr>
      </w:pPr>
      <w:r>
        <w:rPr>
          <w:b/>
          <w:lang w:val="uk-UA"/>
        </w:rPr>
        <w:t>Строк  виконання робіт, послуг: до 31 грудня 2022 року.</w:t>
      </w:r>
    </w:p>
    <w:p>
      <w:pPr>
        <w:pStyle w:val="Normal"/>
        <w:tabs>
          <w:tab w:val="clear" w:pos="708"/>
          <w:tab w:val="left" w:pos="0" w:leader="none"/>
          <w:tab w:val="center" w:pos="4153" w:leader="none"/>
          <w:tab w:val="right" w:pos="8306" w:leader="none"/>
        </w:tabs>
        <w:ind w:firstLine="540"/>
        <w:jc w:val="right"/>
        <w:rPr>
          <w:b/>
          <w:b/>
          <w:bCs/>
          <w:lang w:val="uk-UA"/>
        </w:rPr>
      </w:pPr>
      <w:r>
        <w:rPr>
          <w:b/>
          <w:bCs/>
          <w:lang w:val="uk-UA"/>
        </w:rPr>
      </w:r>
    </w:p>
    <w:tbl>
      <w:tblPr>
        <w:tblW w:w="10470" w:type="dxa"/>
        <w:jc w:val="left"/>
        <w:tblInd w:w="-65" w:type="dxa"/>
        <w:tblLayout w:type="fixed"/>
        <w:tblCellMar>
          <w:top w:w="0" w:type="dxa"/>
          <w:left w:w="108" w:type="dxa"/>
          <w:bottom w:w="0" w:type="dxa"/>
          <w:right w:w="108" w:type="dxa"/>
        </w:tblCellMar>
        <w:tblLook w:firstRow="1" w:noVBand="1" w:lastRow="0" w:firstColumn="1" w:lastColumn="0" w:noHBand="0" w:val="04a0"/>
      </w:tblPr>
      <w:tblGrid>
        <w:gridCol w:w="571"/>
        <w:gridCol w:w="3287"/>
        <w:gridCol w:w="6612"/>
      </w:tblGrid>
      <w:tr>
        <w:trPr>
          <w:tblHeader w:val="true"/>
          <w:trHeight w:val="627"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b/>
                <w:b/>
                <w:bCs/>
              </w:rPr>
            </w:pPr>
            <w:r>
              <w:rPr>
                <w:b/>
                <w:bCs/>
              </w:rPr>
              <w:t xml:space="preserve">№ </w:t>
            </w:r>
            <w:r>
              <w:rPr>
                <w:b/>
                <w:bCs/>
              </w:rPr>
              <w:t>з.п.</w:t>
            </w:r>
          </w:p>
        </w:tc>
        <w:tc>
          <w:tcPr>
            <w:tcW w:w="3287"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b/>
                <w:b/>
                <w:bCs/>
              </w:rPr>
            </w:pPr>
            <w:r>
              <w:rPr>
                <w:b/>
                <w:bCs/>
              </w:rPr>
              <w:t>Кваліфікаційні критерії</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jc w:val="center"/>
              <w:rPr>
                <w:b/>
                <w:b/>
                <w:bCs/>
              </w:rPr>
            </w:pPr>
            <w:r>
              <w:rPr>
                <w:b/>
                <w:bCs/>
              </w:rPr>
              <w:t>Документи, підтверджують відповідність учасника кваліфікаційним критеріям</w:t>
            </w:r>
          </w:p>
        </w:tc>
      </w:tr>
      <w:tr>
        <w:trPr>
          <w:trHeight w:val="376"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pPr>
            <w:r>
              <w:rPr>
                <w:b/>
                <w:bCs/>
              </w:rPr>
              <w:t>1.</w:t>
            </w:r>
          </w:p>
        </w:tc>
        <w:tc>
          <w:tcPr>
            <w:tcW w:w="3287"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08"/>
                <w:tab w:val="left" w:pos="1080" w:leader="none"/>
              </w:tabs>
              <w:rPr/>
            </w:pPr>
            <w:r>
              <w:rPr/>
              <w:t>Наявність обладнання та матеріально-технічної бази</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ind w:firstLine="284"/>
              <w:jc w:val="both"/>
              <w:rPr>
                <w:b/>
                <w:b/>
                <w:lang w:val="uk-UA"/>
              </w:rPr>
            </w:pPr>
            <w:r>
              <w:rPr>
                <w:b/>
              </w:rPr>
              <w:t xml:space="preserve">1.1. </w:t>
            </w:r>
            <w:r>
              <w:rPr>
                <w:b/>
                <w:lang w:val="uk-UA"/>
              </w:rPr>
              <w:t xml:space="preserve"> </w:t>
            </w:r>
            <w:r>
              <w:rPr>
                <w:b/>
              </w:rPr>
              <w:t>Відомості подаються у таблиці довільної форми про наявність матеріально-технічної бази учасника.</w:t>
            </w:r>
          </w:p>
          <w:p>
            <w:pPr>
              <w:pStyle w:val="Normal"/>
              <w:widowControl w:val="false"/>
              <w:jc w:val="both"/>
              <w:rPr>
                <w:lang w:val="uk-UA"/>
              </w:rPr>
            </w:pPr>
            <w:r>
              <w:rPr>
                <w:lang w:val="uk-UA"/>
              </w:rPr>
              <w:t>В складі пропозиції подається довідка про наявність основних будівельних машин і механізмів, які Учасник планує використовувати для виконання робіт за предметом закупівлі (надалі - Довідка про наявність будівельних машин і механізмів) у довільній формі.</w:t>
            </w:r>
          </w:p>
          <w:p>
            <w:pPr>
              <w:pStyle w:val="Normal"/>
              <w:widowControl w:val="false"/>
              <w:jc w:val="both"/>
              <w:rPr/>
            </w:pPr>
            <w:r>
              <w:rPr>
                <w:bCs/>
              </w:rPr>
              <w:t>*До довідки про наявність будівельних машин і механізмів необхідно обов’язково включити наступні будівельні машини</w:t>
            </w:r>
            <w:r>
              <w:rPr>
                <w:b/>
                <w:bCs/>
              </w:rPr>
              <w:t xml:space="preserve"> </w:t>
            </w:r>
            <w:r>
              <w:rPr>
                <w:bCs/>
              </w:rPr>
              <w:t>і</w:t>
            </w:r>
            <w:r>
              <w:rPr>
                <w:b/>
                <w:bCs/>
              </w:rPr>
              <w:t xml:space="preserve"> </w:t>
            </w:r>
            <w:r>
              <w:rPr>
                <w:bCs/>
              </w:rPr>
              <w:t xml:space="preserve">механізми, </w:t>
            </w:r>
            <w:r>
              <w:rPr/>
              <w:t>а саме:</w:t>
            </w:r>
          </w:p>
          <w:p>
            <w:pPr>
              <w:pStyle w:val="ListParagraph"/>
              <w:widowControl w:val="false"/>
              <w:numPr>
                <w:ilvl w:val="0"/>
                <w:numId w:val="4"/>
              </w:numPr>
              <w:spacing w:before="0" w:after="0"/>
              <w:contextualSpacing/>
              <w:jc w:val="both"/>
              <w:rPr>
                <w:rFonts w:ascii="Times New Roman" w:hAnsi="Times New Roman"/>
                <w:spacing w:val="-3"/>
                <w:sz w:val="24"/>
                <w:szCs w:val="24"/>
              </w:rPr>
            </w:pPr>
            <w:r>
              <w:rPr>
                <w:rFonts w:ascii="Times New Roman" w:hAnsi="Times New Roman"/>
                <w:spacing w:val="-3"/>
                <w:sz w:val="24"/>
                <w:szCs w:val="24"/>
              </w:rPr>
              <w:t>Автомобіл</w:t>
            </w:r>
            <w:r>
              <w:rPr>
                <w:rFonts w:ascii="Times New Roman" w:hAnsi="Times New Roman"/>
                <w:spacing w:val="-3"/>
                <w:sz w:val="24"/>
                <w:szCs w:val="24"/>
                <w:lang w:val="uk-UA"/>
              </w:rPr>
              <w:t xml:space="preserve">ь </w:t>
            </w:r>
            <w:r>
              <w:rPr>
                <w:rFonts w:ascii="Times New Roman" w:hAnsi="Times New Roman"/>
                <w:spacing w:val="-3"/>
                <w:sz w:val="24"/>
                <w:szCs w:val="24"/>
              </w:rPr>
              <w:t>бортов</w:t>
            </w:r>
            <w:r>
              <w:rPr>
                <w:rFonts w:ascii="Times New Roman" w:hAnsi="Times New Roman"/>
                <w:spacing w:val="-3"/>
                <w:sz w:val="24"/>
                <w:szCs w:val="24"/>
                <w:lang w:val="uk-UA"/>
              </w:rPr>
              <w:t>ий</w:t>
            </w:r>
            <w:r>
              <w:rPr>
                <w:rFonts w:ascii="Times New Roman" w:hAnsi="Times New Roman"/>
                <w:spacing w:val="-3"/>
                <w:sz w:val="24"/>
                <w:szCs w:val="24"/>
              </w:rPr>
              <w:t>, вантажопідйомність</w:t>
            </w:r>
            <w:r>
              <w:rPr>
                <w:rFonts w:ascii="Times New Roman" w:hAnsi="Times New Roman"/>
                <w:spacing w:val="-3"/>
                <w:sz w:val="24"/>
                <w:szCs w:val="24"/>
                <w:lang w:val="uk-UA"/>
              </w:rPr>
              <w:t xml:space="preserve"> не менше</w:t>
            </w:r>
            <w:r>
              <w:rPr>
                <w:rFonts w:ascii="Times New Roman" w:hAnsi="Times New Roman"/>
                <w:spacing w:val="-3"/>
                <w:sz w:val="24"/>
                <w:szCs w:val="24"/>
              </w:rPr>
              <w:t xml:space="preserve"> 5 т;</w:t>
            </w:r>
          </w:p>
          <w:p>
            <w:pPr>
              <w:pStyle w:val="ListParagraph"/>
              <w:keepLines/>
              <w:widowControl w:val="false"/>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Кран на автомобільному ходу, вантажопідйомність </w:t>
            </w:r>
            <w:r>
              <w:rPr>
                <w:rFonts w:ascii="Times New Roman" w:hAnsi="Times New Roman"/>
                <w:sz w:val="24"/>
                <w:szCs w:val="24"/>
                <w:lang w:val="uk-UA"/>
              </w:rPr>
              <w:t xml:space="preserve">не менше </w:t>
            </w:r>
            <w:r>
              <w:rPr>
                <w:rFonts w:ascii="Times New Roman" w:hAnsi="Times New Roman"/>
                <w:sz w:val="24"/>
                <w:szCs w:val="24"/>
              </w:rPr>
              <w:t>10 т;</w:t>
            </w:r>
          </w:p>
          <w:p>
            <w:pPr>
              <w:pStyle w:val="ListParagraph"/>
              <w:keepLines/>
              <w:widowControl w:val="false"/>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Установка для зварювання ручного дугового [постійного струму]</w:t>
            </w:r>
            <w:r>
              <w:rPr>
                <w:rFonts w:ascii="Times New Roman" w:hAnsi="Times New Roman"/>
                <w:sz w:val="24"/>
                <w:szCs w:val="24"/>
                <w:lang w:val="uk-UA"/>
              </w:rPr>
              <w:t>;</w:t>
            </w:r>
          </w:p>
          <w:p>
            <w:pPr>
              <w:pStyle w:val="ListParagraph"/>
              <w:keepLines/>
              <w:widowControl w:val="false"/>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Компресор пересувн</w:t>
            </w:r>
            <w:r>
              <w:rPr>
                <w:rFonts w:ascii="Times New Roman" w:hAnsi="Times New Roman"/>
                <w:sz w:val="24"/>
                <w:szCs w:val="24"/>
                <w:lang w:val="uk-UA"/>
              </w:rPr>
              <w:t>ий</w:t>
            </w:r>
            <w:r>
              <w:rPr>
                <w:rFonts w:ascii="Times New Roman" w:hAnsi="Times New Roman"/>
                <w:sz w:val="24"/>
                <w:szCs w:val="24"/>
              </w:rPr>
              <w:t xml:space="preserve"> з електродвигуном, тиск 600 кПа [6 ат], продуктивність 0,5 м3/хв.;</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rPr>
              <w:t>Машин</w:t>
            </w:r>
            <w:r>
              <w:rPr>
                <w:rFonts w:ascii="Times New Roman" w:hAnsi="Times New Roman"/>
                <w:spacing w:val="-3"/>
                <w:sz w:val="24"/>
                <w:szCs w:val="24"/>
                <w:lang w:val="uk-UA"/>
              </w:rPr>
              <w:t>а</w:t>
            </w:r>
            <w:r>
              <w:rPr>
                <w:rFonts w:ascii="Times New Roman" w:hAnsi="Times New Roman"/>
                <w:spacing w:val="-3"/>
                <w:sz w:val="24"/>
                <w:szCs w:val="24"/>
              </w:rPr>
              <w:t xml:space="preserve"> бурильно-кранов</w:t>
            </w:r>
            <w:r>
              <w:rPr>
                <w:rFonts w:ascii="Times New Roman" w:hAnsi="Times New Roman"/>
                <w:spacing w:val="-3"/>
                <w:sz w:val="24"/>
                <w:szCs w:val="24"/>
                <w:lang w:val="uk-UA"/>
              </w:rPr>
              <w:t>а</w:t>
            </w:r>
            <w:r>
              <w:rPr>
                <w:rFonts w:ascii="Times New Roman" w:hAnsi="Times New Roman"/>
                <w:spacing w:val="-3"/>
                <w:sz w:val="24"/>
                <w:szCs w:val="24"/>
              </w:rPr>
              <w:t xml:space="preserve"> на автомобілі, глибина буріння 3,5 м</w:t>
            </w:r>
            <w:r>
              <w:rPr>
                <w:rFonts w:ascii="Times New Roman" w:hAnsi="Times New Roman"/>
                <w:spacing w:val="-3"/>
                <w:sz w:val="24"/>
                <w:szCs w:val="24"/>
                <w:lang w:val="uk-UA"/>
              </w:rPr>
              <w:t>;</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Коток дорожній самохідний, маса не менше 13т;</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Автогрейдер, потужність не менше 99 кВт (135 к.с.);</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Коток дорожній самохідний, маса не менше 8 т;</w:t>
            </w:r>
          </w:p>
          <w:p>
            <w:pPr>
              <w:pStyle w:val="ListParagraph"/>
              <w:keepLines/>
              <w:widowControl w:val="false"/>
              <w:numPr>
                <w:ilvl w:val="0"/>
                <w:numId w:val="4"/>
              </w:numPr>
              <w:spacing w:lineRule="auto" w:line="240" w:before="0" w:after="0"/>
              <w:contextualSpacing/>
              <w:jc w:val="both"/>
              <w:rPr>
                <w:rFonts w:ascii="Times New Roman" w:hAnsi="Times New Roman"/>
                <w:b/>
                <w:b/>
                <w:sz w:val="24"/>
                <w:szCs w:val="24"/>
              </w:rPr>
            </w:pPr>
            <w:r>
              <w:rPr>
                <w:rFonts w:ascii="Times New Roman" w:hAnsi="Times New Roman"/>
                <w:spacing w:val="-3"/>
                <w:sz w:val="24"/>
                <w:szCs w:val="24"/>
                <w:lang w:val="uk-UA"/>
              </w:rPr>
              <w:t>Бульдозер, потужність не менше 79 кВт (108 к.с.).</w:t>
            </w:r>
          </w:p>
          <w:p>
            <w:pPr>
              <w:pStyle w:val="ListParagraph"/>
              <w:keepLines/>
              <w:widowControl w:val="false"/>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widowControl w:val="false"/>
              <w:jc w:val="both"/>
              <w:rPr/>
            </w:pPr>
            <w:r>
              <w:rPr/>
              <w:t>В разі необхідності, Учасник має право включити до Довідки про наявність будівельних машин і механізмів й інші будівельних машини і механізми.</w:t>
            </w:r>
          </w:p>
          <w:p>
            <w:pPr>
              <w:pStyle w:val="Normal"/>
              <w:widowControl w:val="false"/>
              <w:jc w:val="both"/>
              <w:rPr>
                <w:b/>
                <w:b/>
              </w:rPr>
            </w:pPr>
            <w:r>
              <w:rPr/>
              <w:t>В підтвердження наявності власних будівельних машин та механізмів, учасник в складі пропозиції надає свідоцтва про реєстрацію транспортних засобів (машин та механізмів).</w:t>
            </w:r>
          </w:p>
          <w:p>
            <w:pPr>
              <w:pStyle w:val="Normal"/>
              <w:widowControl w:val="false"/>
              <w:jc w:val="both"/>
              <w:rPr/>
            </w:pPr>
            <w:r>
              <w:rPr/>
              <w:t xml:space="preserve">Для підтвердження правових підстав щодо наявності орендованих </w:t>
            </w:r>
            <w:r>
              <w:rPr>
                <w:bCs/>
              </w:rPr>
              <w:t>будівельних машин</w:t>
            </w:r>
            <w:r>
              <w:rPr>
                <w:b/>
                <w:bCs/>
              </w:rPr>
              <w:t xml:space="preserve"> </w:t>
            </w:r>
            <w:r>
              <w:rPr>
                <w:bCs/>
              </w:rPr>
              <w:t>і</w:t>
            </w:r>
            <w:r>
              <w:rPr>
                <w:b/>
                <w:bCs/>
              </w:rPr>
              <w:t xml:space="preserve"> </w:t>
            </w:r>
            <w:r>
              <w:rPr>
                <w:bCs/>
              </w:rPr>
              <w:t>механізмів</w:t>
            </w:r>
            <w:r>
              <w:rPr/>
              <w:t xml:space="preserve">, та/або щодо надання послуг з використанням </w:t>
            </w:r>
            <w:r>
              <w:rPr>
                <w:bCs/>
              </w:rPr>
              <w:t>будівельних</w:t>
            </w:r>
            <w:r>
              <w:rPr/>
              <w:t xml:space="preserve"> машин та механізмів, учасник надає у складі пропозиції  відповідні документи:</w:t>
            </w:r>
          </w:p>
          <w:p>
            <w:pPr>
              <w:pStyle w:val="Normal"/>
              <w:widowControl w:val="false"/>
              <w:jc w:val="both"/>
              <w:rPr>
                <w:b/>
                <w:b/>
              </w:rPr>
            </w:pPr>
            <w:r>
              <w:rPr/>
              <w:t>- діючий договір оренди та/або надання послуг з додатками;</w:t>
            </w:r>
          </w:p>
          <w:p>
            <w:pPr>
              <w:pStyle w:val="Normal"/>
              <w:widowControl w:val="false"/>
              <w:jc w:val="both"/>
              <w:rPr/>
            </w:pPr>
            <w:r>
              <w:rPr/>
              <w:t>- лист-згода власника транспортних засобів (машин та механізмів) на їх використання Учасником для виконання робіт за предметом закупівлі;</w:t>
            </w:r>
          </w:p>
          <w:p>
            <w:pPr>
              <w:pStyle w:val="Normal"/>
              <w:widowControl w:val="false"/>
              <w:jc w:val="both"/>
              <w:rPr/>
            </w:pPr>
            <w:r>
              <w:rPr/>
              <w:t>- свідоцтва про реєстрацію транспортних засобів (машин та механізмів).</w:t>
            </w:r>
          </w:p>
          <w:p>
            <w:pPr>
              <w:pStyle w:val="Normal"/>
              <w:widowControl w:val="false"/>
              <w:jc w:val="both"/>
              <w:rPr/>
            </w:pPr>
            <w:r>
              <w:rPr/>
              <w:t>Лист-згода власника транспортних засобів (машин та механізмів) повинен містити</w:t>
            </w:r>
            <w:r>
              <w:rPr>
                <w:lang w:val="uk-UA"/>
              </w:rPr>
              <w:t>*</w:t>
            </w:r>
            <w:r>
              <w:rPr/>
              <w:t>:</w:t>
            </w:r>
          </w:p>
          <w:p>
            <w:pPr>
              <w:pStyle w:val="Normal"/>
              <w:widowControl w:val="false"/>
              <w:jc w:val="both"/>
              <w:rPr/>
            </w:pPr>
            <w:r>
              <w:rPr/>
              <w:t>- згоду щодо їх використання Учасником для виконання робіт за предметом закупівлі, або згоду на надання послуг, з обов’язковим зазначенням предмету закупівлі;</w:t>
            </w:r>
          </w:p>
          <w:p>
            <w:pPr>
              <w:pStyle w:val="Normal"/>
              <w:widowControl w:val="false"/>
              <w:jc w:val="both"/>
              <w:rPr/>
            </w:pPr>
            <w:r>
              <w:rPr/>
              <w:t>- повне найменування Учасника, якому надається згода на використання транспортних засобів (машин та механізмів), або на надання послуг.</w:t>
            </w:r>
          </w:p>
          <w:p>
            <w:pPr>
              <w:pStyle w:val="Normal"/>
              <w:widowControl w:val="false"/>
              <w:jc w:val="both"/>
              <w:rPr>
                <w:lang w:val="uk-UA"/>
              </w:rPr>
            </w:pPr>
            <w:r>
              <w:rPr>
                <w:lang w:val="uk-UA"/>
              </w:rPr>
              <w:t>* у разі використання транспортних засобів за договором оренди, посвідченим нотаріально, з правом Орендаря або Орендодавця використовувати транспортні засоби на власний розсуд без погодження із власником, листи-згоди надавати не потрібно.</w:t>
            </w:r>
          </w:p>
          <w:p>
            <w:pPr>
              <w:pStyle w:val="Normal"/>
              <w:widowControl w:val="false"/>
              <w:jc w:val="both"/>
              <w:rPr/>
            </w:pPr>
            <w:r>
              <w:rPr/>
              <w:t>Лист-згода власника транспортних засобів (машин та механізмів) подається на фірмовому бланку (</w:t>
            </w:r>
            <w:r>
              <w:rPr>
                <w:i/>
              </w:rPr>
              <w:t>у разі наявності  такого бланку</w:t>
            </w:r>
            <w:r>
              <w:rPr/>
              <w:t>) та містити підпис керівника власника транспортних засобів (машин та механізмів) та печатку (при наявності).</w:t>
            </w:r>
          </w:p>
          <w:p>
            <w:pPr>
              <w:pStyle w:val="Normal"/>
              <w:widowControl w:val="false"/>
              <w:jc w:val="both"/>
              <w:rPr/>
            </w:pPr>
            <w:r>
              <w:rPr/>
              <w:t>Достовірність підпису у листі-згоді від власника транспортних засобів (машин та механізмів) фізичної особи, або фізичної особи – підприємця, підлягає нотаріальному засвідченню.</w:t>
            </w:r>
          </w:p>
          <w:p>
            <w:pPr>
              <w:pStyle w:val="Normal"/>
              <w:widowControl w:val="false"/>
              <w:jc w:val="both"/>
              <w:rPr>
                <w:b/>
                <w:b/>
                <w:lang w:val="uk-UA"/>
              </w:rPr>
            </w:pPr>
            <w:r>
              <w:rPr>
                <w:bCs/>
              </w:rPr>
              <w:t>В разі якщо будівельні машини</w:t>
            </w:r>
            <w:r>
              <w:rPr>
                <w:b/>
                <w:bCs/>
              </w:rPr>
              <w:t xml:space="preserve"> </w:t>
            </w:r>
            <w:r>
              <w:rPr>
                <w:bCs/>
              </w:rPr>
              <w:t>і</w:t>
            </w:r>
            <w:r>
              <w:rPr>
                <w:b/>
                <w:bCs/>
              </w:rPr>
              <w:t xml:space="preserve"> </w:t>
            </w:r>
            <w:r>
              <w:rPr>
                <w:bCs/>
              </w:rPr>
              <w:t xml:space="preserve">механізми не підлягають реєстрації та на них не отримуються </w:t>
            </w:r>
            <w:r>
              <w:rPr/>
              <w:t>свідоцтва про реєстрацію транспортних засобів (машин та механізмів), Учасник в складі пропозиції надає лист-роз’яснення щодо відсутності необхідності отримання вищезазначеного свідоцтва на конкретні машини/механізми.</w:t>
            </w:r>
          </w:p>
          <w:p>
            <w:pPr>
              <w:pStyle w:val="Normal"/>
              <w:widowControl w:val="false"/>
              <w:jc w:val="both"/>
              <w:rPr>
                <w:lang w:val="uk-UA"/>
              </w:rPr>
            </w:pPr>
            <w:r>
              <w:rPr>
                <w:lang w:val="uk-UA"/>
              </w:rPr>
            </w:r>
          </w:p>
          <w:p>
            <w:pPr>
              <w:pStyle w:val="NoSpacing"/>
              <w:widowControl w:val="false"/>
              <w:ind w:hanging="0"/>
              <w:jc w:val="both"/>
              <w:rPr>
                <w:rFonts w:ascii="Times New Roman" w:hAnsi="Times New Roman"/>
                <w:iCs/>
                <w:lang w:val="uk-UA"/>
              </w:rPr>
            </w:pPr>
            <w:r>
              <w:rPr>
                <w:rFonts w:ascii="Times New Roman" w:hAnsi="Times New Roman"/>
                <w:iCs/>
                <w:lang w:val="uk-UA"/>
              </w:rPr>
              <w:t>Учасник повинен мати власну(і) або залучену(і) випробувальну(ні) дорожню(ні) лабораторію(ї) для проведення вхідного та операційного контролю (далі – вимірювальна лабораторія), яка спроможна виконувати контроль якості будівельних матеріалів, які підлягають вимірювальному контролю під час виконання робіт, які є предметом закупівлі.</w:t>
            </w:r>
          </w:p>
          <w:p>
            <w:pPr>
              <w:pStyle w:val="NoSpacing"/>
              <w:widowControl w:val="false"/>
              <w:ind w:hanging="0"/>
              <w:jc w:val="both"/>
              <w:rPr>
                <w:rFonts w:ascii="Times New Roman" w:hAnsi="Times New Roman"/>
                <w:iCs/>
                <w:lang w:val="uk-UA"/>
              </w:rPr>
            </w:pPr>
            <w:r>
              <w:rPr>
                <w:rFonts w:ascii="Times New Roman" w:hAnsi="Times New Roman"/>
                <w:iCs/>
                <w:lang w:val="uk-UA"/>
              </w:rPr>
              <w:t>Для документального підтвердження наявності вимірювальної(их) лабораторії(й) Учасник повинен надати:</w:t>
            </w:r>
          </w:p>
          <w:p>
            <w:pPr>
              <w:pStyle w:val="NoSpacing"/>
              <w:widowControl w:val="false"/>
              <w:numPr>
                <w:ilvl w:val="0"/>
                <w:numId w:val="5"/>
              </w:numPr>
              <w:jc w:val="both"/>
              <w:rPr>
                <w:rFonts w:ascii="Times New Roman" w:hAnsi="Times New Roman"/>
                <w:iCs/>
                <w:lang w:val="uk-UA"/>
              </w:rPr>
            </w:pPr>
            <w:r>
              <w:rPr>
                <w:rFonts w:ascii="Times New Roman" w:hAnsi="Times New Roman"/>
                <w:iCs/>
                <w:lang w:val="uk-UA"/>
              </w:rPr>
              <w:t>договір з усіма додатками та додатковими угодами/додатками до додаткових угод до договору про залучення Учасником сторонньої (іх) вимірювальної(их) лабораторії (й) (надається щодо залученої(их) лабораторії(й);</w:t>
            </w:r>
          </w:p>
          <w:p>
            <w:pPr>
              <w:pStyle w:val="ListParagraph"/>
              <w:widowControl w:val="false"/>
              <w:spacing w:lineRule="auto" w:line="259" w:before="0" w:after="0"/>
              <w:contextualSpacing/>
              <w:jc w:val="both"/>
              <w:rPr>
                <w:rFonts w:ascii="Times New Roman" w:hAnsi="Times New Roman"/>
                <w:sz w:val="24"/>
                <w:szCs w:val="24"/>
                <w:lang w:val="uk-UA"/>
              </w:rPr>
            </w:pPr>
            <w:r>
              <w:rPr>
                <w:rFonts w:ascii="Times New Roman" w:hAnsi="Times New Roman"/>
                <w:iCs/>
                <w:sz w:val="24"/>
                <w:szCs w:val="24"/>
                <w:lang w:val="uk-UA"/>
              </w:rPr>
              <w:t>гарантійний лист від Учасника або власника (у разі залучення) про те, що під час виконання робіт за предметом закупівлі вимірювальна(і) лабораторія(ї) буде(ть) виконувати контроль якості будівельних матеріалів,  які підлягають вимірювальному контролю під час виконання робіт, які є предметом закупівлі.</w:t>
            </w:r>
          </w:p>
        </w:tc>
      </w:tr>
      <w:tr>
        <w:trPr>
          <w:trHeight w:val="1316"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pPr>
            <w:r>
              <w:rPr>
                <w:b/>
                <w:bCs/>
              </w:rPr>
              <w:t>2.</w:t>
            </w:r>
          </w:p>
        </w:tc>
        <w:tc>
          <w:tcPr>
            <w:tcW w:w="3287"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rPr/>
            </w:pPr>
            <w:r>
              <w:rPr/>
              <w:t>Наявність працівників відповідної кваліфікації, які мають необхідні знання та досвід</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080" w:leader="none"/>
              </w:tabs>
              <w:jc w:val="both"/>
              <w:rPr/>
            </w:pPr>
            <w:r>
              <w:rPr/>
              <w:t xml:space="preserve">Наявність працівників для виконання робіт. </w:t>
            </w:r>
            <w:r>
              <w:rPr>
                <w:rFonts w:eastAsia="Calibri"/>
              </w:rPr>
              <w:t>Відомості подаються шляхом заповнення Форми «Наявність працівників відповідної кваліфікації, які мають необхідні знання та досвід</w:t>
            </w:r>
            <w:r>
              <w:rPr/>
              <w:t>», згідно запропонованої форми</w:t>
            </w:r>
            <w:r>
              <w:rPr>
                <w:color w:val="000000"/>
              </w:rPr>
              <w:t>, що визначена у даному Додатку.</w:t>
            </w:r>
            <w:r>
              <w:rPr/>
              <w:t xml:space="preserve"> До довідки обов’язково додається копія наказів про призначення (вступ) на посаду. Накази про призначення (вступ) на посаду повинні підтверджувати факт заняття саме тієї посади, яка вказана Учасником у </w:t>
            </w:r>
            <w:r>
              <w:rPr>
                <w:rFonts w:eastAsia="Calibri"/>
              </w:rPr>
              <w:t>Формі «Наявність працівників відповідної кваліфікації, які мають необхідні знання та досвід</w:t>
            </w:r>
            <w:r>
              <w:rPr/>
              <w:t>» цього Додатку.</w:t>
            </w:r>
          </w:p>
          <w:p>
            <w:pPr>
              <w:pStyle w:val="Normal"/>
              <w:widowControl w:val="false"/>
              <w:tabs>
                <w:tab w:val="clear" w:pos="708"/>
                <w:tab w:val="left" w:pos="1080" w:leader="none"/>
              </w:tabs>
              <w:jc w:val="both"/>
              <w:rPr/>
            </w:pPr>
            <w:r>
              <w:rPr/>
            </w:r>
          </w:p>
          <w:p>
            <w:pPr>
              <w:pStyle w:val="Normal"/>
              <w:widowControl w:val="false"/>
              <w:jc w:val="both"/>
              <w:rPr>
                <w:bCs/>
              </w:rPr>
            </w:pPr>
            <w:r>
              <w:rPr/>
              <w:t>Форма «Наявність працівників відповідної кваліфікації, які мають необхідні знання та досвід»</w:t>
            </w:r>
          </w:p>
          <w:tbl>
            <w:tblPr>
              <w:tblW w:w="6876"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98"/>
              <w:gridCol w:w="1855"/>
              <w:gridCol w:w="2421"/>
              <w:gridCol w:w="2201"/>
            </w:tblGrid>
            <w:tr>
              <w:trPr>
                <w:trHeight w:val="730" w:hRule="atLeast"/>
              </w:trPr>
              <w:tc>
                <w:tcPr>
                  <w:tcW w:w="39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w:t>
                  </w:r>
                </w:p>
                <w:p>
                  <w:pPr>
                    <w:pStyle w:val="Normal"/>
                    <w:widowControl w:val="false"/>
                    <w:rPr>
                      <w:b/>
                      <w:b/>
                    </w:rPr>
                  </w:pPr>
                  <w:r>
                    <w:rPr/>
                    <w:t>з/п</w:t>
                  </w:r>
                </w:p>
              </w:tc>
              <w:tc>
                <w:tcPr>
                  <w:tcW w:w="18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П.І.Б.</w:t>
                  </w:r>
                </w:p>
              </w:tc>
              <w:tc>
                <w:tcPr>
                  <w:tcW w:w="24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Найменування посади  працівника</w:t>
                  </w:r>
                </w:p>
              </w:tc>
              <w:tc>
                <w:tcPr>
                  <w:tcW w:w="220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t>Назва документу, що підтверджують наявність трудових відносин</w:t>
                  </w:r>
                </w:p>
              </w:tc>
            </w:tr>
            <w:tr>
              <w:trPr>
                <w:trHeight w:val="381" w:hRule="atLeast"/>
              </w:trPr>
              <w:tc>
                <w:tcPr>
                  <w:tcW w:w="39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1.</w:t>
                  </w:r>
                </w:p>
              </w:tc>
              <w:tc>
                <w:tcPr>
                  <w:tcW w:w="1855" w:type="dxa"/>
                  <w:tcBorders>
                    <w:top w:val="single" w:sz="4" w:space="0" w:color="000000"/>
                    <w:left w:val="single" w:sz="4" w:space="0" w:color="000000"/>
                    <w:bottom w:val="single" w:sz="4" w:space="0" w:color="000000"/>
                    <w:right w:val="single" w:sz="4" w:space="0" w:color="000000"/>
                  </w:tcBorders>
                </w:tcPr>
                <w:p>
                  <w:pPr>
                    <w:pStyle w:val="Normal"/>
                    <w:widowControl w:val="false"/>
                    <w:rPr>
                      <w:b/>
                      <w:b/>
                      <w:u w:val="single"/>
                    </w:rPr>
                  </w:pPr>
                  <w:r>
                    <w:rPr>
                      <w:b/>
                      <w:u w:val="single"/>
                    </w:rPr>
                  </w:r>
                </w:p>
              </w:tc>
              <w:tc>
                <w:tcPr>
                  <w:tcW w:w="2421" w:type="dxa"/>
                  <w:tcBorders>
                    <w:top w:val="single" w:sz="4" w:space="0" w:color="000000"/>
                    <w:left w:val="single" w:sz="4" w:space="0" w:color="000000"/>
                    <w:bottom w:val="single" w:sz="4" w:space="0" w:color="000000"/>
                    <w:right w:val="single" w:sz="4" w:space="0" w:color="000000"/>
                  </w:tcBorders>
                </w:tcPr>
                <w:p>
                  <w:pPr>
                    <w:pStyle w:val="Normal"/>
                    <w:widowControl w:val="false"/>
                    <w:rPr>
                      <w:b/>
                      <w:b/>
                      <w:u w:val="single"/>
                    </w:rPr>
                  </w:pPr>
                  <w:r>
                    <w:rPr>
                      <w:b/>
                      <w:u w:val="single"/>
                    </w:rPr>
                  </w:r>
                </w:p>
              </w:tc>
              <w:tc>
                <w:tcPr>
                  <w:tcW w:w="2201" w:type="dxa"/>
                  <w:tcBorders>
                    <w:top w:val="single" w:sz="4" w:space="0" w:color="000000"/>
                    <w:left w:val="single" w:sz="4" w:space="0" w:color="000000"/>
                    <w:bottom w:val="single" w:sz="4" w:space="0" w:color="000000"/>
                    <w:right w:val="single" w:sz="4" w:space="0" w:color="000000"/>
                  </w:tcBorders>
                </w:tcPr>
                <w:p>
                  <w:pPr>
                    <w:pStyle w:val="Normal"/>
                    <w:widowControl w:val="false"/>
                    <w:rPr>
                      <w:b/>
                      <w:b/>
                      <w:u w:val="single"/>
                    </w:rPr>
                  </w:pPr>
                  <w:r>
                    <w:rPr>
                      <w:b/>
                      <w:u w:val="single"/>
                    </w:rPr>
                  </w:r>
                </w:p>
              </w:tc>
            </w:tr>
          </w:tbl>
          <w:p>
            <w:pPr>
              <w:pStyle w:val="Normal"/>
              <w:widowControl w:val="false"/>
              <w:tabs>
                <w:tab w:val="clear" w:pos="708"/>
                <w:tab w:val="left" w:pos="1080" w:leader="none"/>
              </w:tabs>
              <w:jc w:val="both"/>
              <w:rPr/>
            </w:pPr>
            <w:r>
              <w:rPr/>
            </w:r>
          </w:p>
          <w:p>
            <w:pPr>
              <w:pStyle w:val="Normal"/>
              <w:widowControl w:val="false"/>
              <w:tabs>
                <w:tab w:val="clear" w:pos="708"/>
                <w:tab w:val="left" w:pos="1080" w:leader="none"/>
              </w:tabs>
              <w:jc w:val="both"/>
              <w:rPr>
                <w:rFonts w:eastAsia="Times New Roman"/>
                <w:color w:val="000000"/>
              </w:rPr>
            </w:pPr>
            <w:r>
              <w:rPr>
                <w:rFonts w:eastAsia="Times New Roman"/>
                <w:color w:val="000000"/>
              </w:rPr>
              <w:t>Обов’язкова наявність інженера-проектувальника. Підтвердити взаємовідносини з ними та надати копію кваліфікаційного сертифікату сертифікованого інженера-проектувальника в частині кошторисної документації, завірену його печаткою та підписом.</w:t>
            </w:r>
          </w:p>
          <w:p>
            <w:pPr>
              <w:pStyle w:val="NormalWeb"/>
              <w:widowControl w:val="false"/>
              <w:spacing w:lineRule="auto" w:line="252" w:beforeAutospacing="0" w:before="0" w:afterAutospacing="0" w:after="0"/>
              <w:jc w:val="both"/>
              <w:rPr>
                <w:color w:val="000000"/>
              </w:rPr>
            </w:pPr>
            <w:r>
              <w:rPr>
                <w:color w:val="000000"/>
              </w:rPr>
              <w:t>Обов’язкова наявність електрозварників, які пройшли перевірку знать з питань охорони праці працівників, зайнятих на роботах підвищеної небезпеки (надати Протокол засідання комісії або виписку з такого  протоколу).</w:t>
            </w:r>
          </w:p>
          <w:p>
            <w:pPr>
              <w:pStyle w:val="NormalWeb"/>
              <w:widowControl w:val="false"/>
              <w:spacing w:lineRule="auto" w:line="252" w:beforeAutospacing="0" w:before="0" w:afterAutospacing="0" w:after="0"/>
              <w:jc w:val="both"/>
              <w:rPr/>
            </w:pPr>
            <w:r>
              <w:rPr>
                <w:color w:val="000000"/>
              </w:rPr>
              <w:t xml:space="preserve">На кожного працівника, наведеного у Довідці, надати медичні довідки про проходження періодичного медичного огляду на кожного працівника, інформація про якого надана Учасником, </w:t>
            </w:r>
            <w:r>
              <w:rPr/>
              <w:t>відповідно до п.2.16. Наказу МОЗ України №246 від 21.05.2007 «Порядок проведення медичних оглядів працівників певних категорій», форма за Додатком 8 до Наказу</w:t>
            </w:r>
            <w:r>
              <w:rPr>
                <w:color w:val="000000"/>
              </w:rPr>
              <w:t>.</w:t>
            </w:r>
          </w:p>
          <w:p>
            <w:pPr>
              <w:pStyle w:val="Normal"/>
              <w:widowControl w:val="false"/>
              <w:jc w:val="both"/>
              <w:rPr>
                <w:lang w:val="uk-UA"/>
              </w:rPr>
            </w:pPr>
            <w:r>
              <w:rPr>
                <w:lang w:val="uk-UA"/>
              </w:rPr>
            </w:r>
          </w:p>
          <w:p>
            <w:pPr>
              <w:pStyle w:val="Normal"/>
              <w:widowControl w:val="false"/>
              <w:ind w:firstLine="284"/>
              <w:jc w:val="both"/>
              <w:rPr>
                <w:lang w:val="uk-UA"/>
              </w:rPr>
            </w:pPr>
            <w:r>
              <w:rPr>
                <w:lang w:val="uk-UA"/>
              </w:rPr>
              <w:t xml:space="preserve"> </w:t>
            </w:r>
            <w:r>
              <w:rPr>
                <w:lang w:val="uk-UA"/>
              </w:rPr>
              <w:t>Надати документи, які підтверджують проходження навчання і перевірку знань з питань пожежної безпеки та охорони праці керівника підприємства.</w:t>
            </w:r>
          </w:p>
          <w:p>
            <w:pPr>
              <w:pStyle w:val="Normal"/>
              <w:widowControl w:val="false"/>
              <w:ind w:firstLine="284"/>
              <w:jc w:val="both"/>
              <w:rPr>
                <w:lang w:val="uk-UA"/>
              </w:rPr>
            </w:pPr>
            <w:r>
              <w:rPr>
                <w:lang w:val="uk-UA"/>
              </w:rPr>
            </w:r>
          </w:p>
          <w:p>
            <w:pPr>
              <w:pStyle w:val="Normal"/>
              <w:widowControl w:val="false"/>
              <w:ind w:firstLine="284"/>
              <w:jc w:val="both"/>
              <w:rPr>
                <w:b/>
                <w:b/>
                <w:lang w:val="uk-UA"/>
              </w:rPr>
            </w:pPr>
            <w:r>
              <w:rPr>
                <w:b/>
                <w:lang w:val="uk-UA"/>
              </w:rPr>
            </w:r>
          </w:p>
          <w:p>
            <w:pPr>
              <w:pStyle w:val="Normal"/>
              <w:widowControl w:val="false"/>
              <w:ind w:firstLine="284"/>
              <w:jc w:val="both"/>
              <w:rPr>
                <w:lang w:val="uk-UA"/>
              </w:rPr>
            </w:pPr>
            <w:r>
              <w:rPr>
                <w:b/>
              </w:rPr>
              <w:t>Також необхідно надати наступні документи</w:t>
            </w:r>
            <w:r>
              <w:rPr/>
              <w:t>:</w:t>
            </w:r>
          </w:p>
          <w:p>
            <w:pPr>
              <w:pStyle w:val="Normal"/>
              <w:widowControl w:val="false"/>
              <w:jc w:val="both"/>
              <w:rPr>
                <w:color w:val="000000"/>
                <w:lang w:val="uk-UA"/>
              </w:rPr>
            </w:pPr>
            <w:r>
              <w:rPr>
                <w:color w:val="000000"/>
                <w:lang w:val="uk-UA"/>
              </w:rPr>
              <w:t>- Чинна Декларація (оригінал або копія) відповідності матеріально-технічної бази вимогам законодавства з питань охорони праці, зареєстровану відповідно до діючого законодавства, в тому числі на виконання робіт підвищеної небезпеки, а саме: земляні роботи, що виконуються на глибині понад 2 метри або в зоні розташування підземних комунікацій та на зварювальні та газополум’яні роботи, що виконуються із застосуванням відкритого полум’я.</w:t>
            </w:r>
          </w:p>
          <w:p>
            <w:pPr>
              <w:pStyle w:val="Normal"/>
              <w:widowControl w:val="false"/>
              <w:jc w:val="both"/>
              <w:rPr>
                <w:color w:val="FF0000"/>
                <w:lang w:val="uk-UA"/>
              </w:rPr>
            </w:pPr>
            <w:r>
              <w:rPr>
                <w:color w:val="000000"/>
                <w:lang w:val="uk-UA"/>
              </w:rPr>
              <w:t>- Чинна Декларація (оригінал або копія) відповідності матеріально-технічної бази вимогам законодавства з питань охорони праці, зареєстровану відповідно до діючого законодавства, в тому числі на виконання робіт підвищеної небезпеки, а саме: роботи, що виконуються на висоті понад 1,3 метра.</w:t>
            </w:r>
          </w:p>
        </w:tc>
      </w:tr>
      <w:tr>
        <w:trPr>
          <w:trHeight w:val="561" w:hRule="atLeast"/>
        </w:trPr>
        <w:tc>
          <w:tcPr>
            <w:tcW w:w="571"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jc w:val="center"/>
              <w:rPr/>
            </w:pPr>
            <w:r>
              <w:rPr>
                <w:b/>
                <w:bCs/>
              </w:rPr>
              <w:t>3.</w:t>
            </w:r>
          </w:p>
        </w:tc>
        <w:tc>
          <w:tcPr>
            <w:tcW w:w="3287" w:type="dxa"/>
            <w:tcBorders>
              <w:top w:val="single" w:sz="4" w:space="0" w:color="000000"/>
              <w:left w:val="single" w:sz="4" w:space="0" w:color="000000"/>
              <w:bottom w:val="single" w:sz="4" w:space="0" w:color="000000"/>
            </w:tcBorders>
          </w:tcPr>
          <w:p>
            <w:pPr>
              <w:pStyle w:val="Normal"/>
              <w:widowControl w:val="false"/>
              <w:tabs>
                <w:tab w:val="clear" w:pos="708"/>
                <w:tab w:val="left" w:pos="1080" w:leader="none"/>
              </w:tabs>
              <w:rPr/>
            </w:pPr>
            <w:r>
              <w:rPr/>
              <w:t>Наявність документально підтвердженого досвіду виконання аналогічного договору</w:t>
            </w:r>
          </w:p>
        </w:tc>
        <w:tc>
          <w:tcPr>
            <w:tcW w:w="6612"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both"/>
              <w:rPr>
                <w:color w:val="000000" w:themeColor="text1"/>
              </w:rPr>
            </w:pPr>
            <w:r>
              <w:rPr>
                <w:color w:val="000000" w:themeColor="text1"/>
              </w:rPr>
              <w:t xml:space="preserve">Довідка про наявність документально підтвердженого досвіду виконання </w:t>
            </w:r>
            <w:r>
              <w:rPr/>
              <w:t>аналогічного(них) договору (рів</w:t>
            </w:r>
            <w:r>
              <w:rPr>
                <w:color w:val="000000" w:themeColor="text1"/>
              </w:rPr>
              <w:t xml:space="preserve"> ), які (який) були укладені в результаті проведен</w:t>
            </w:r>
            <w:bookmarkStart w:id="0" w:name="_GoBack"/>
            <w:bookmarkEnd w:id="0"/>
            <w:r>
              <w:rPr>
                <w:color w:val="000000" w:themeColor="text1"/>
              </w:rPr>
              <w:t>ня процедур закупівель та інформація щодо яких наявна на веб-порталі Уповноваженого органу https://prozorro.gov.ua/, за наведеною формою:</w:t>
            </w:r>
          </w:p>
          <w:tbl>
            <w:tblPr>
              <w:tblW w:w="69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22"/>
              <w:gridCol w:w="1097"/>
              <w:gridCol w:w="1113"/>
              <w:gridCol w:w="1049"/>
              <w:gridCol w:w="2697"/>
            </w:tblGrid>
            <w:tr>
              <w:trPr/>
              <w:tc>
                <w:tcPr>
                  <w:tcW w:w="1022" w:type="dxa"/>
                  <w:tcBorders>
                    <w:top w:val="single" w:sz="4" w:space="0" w:color="000000"/>
                    <w:left w:val="single" w:sz="4" w:space="0" w:color="000000"/>
                    <w:bottom w:val="single" w:sz="4" w:space="0" w:color="000000"/>
                  </w:tcBorders>
                </w:tcPr>
                <w:p>
                  <w:pPr>
                    <w:pStyle w:val="Normal"/>
                    <w:widowControl w:val="false"/>
                    <w:ind w:left="-15" w:right="-114" w:hanging="0"/>
                    <w:jc w:val="center"/>
                    <w:rPr>
                      <w:color w:val="000000" w:themeColor="text1"/>
                    </w:rPr>
                  </w:pPr>
                  <w:r>
                    <w:rPr>
                      <w:color w:val="000000" w:themeColor="text1"/>
                    </w:rPr>
                    <w:t xml:space="preserve">№ </w:t>
                  </w:r>
                  <w:r>
                    <w:rPr>
                      <w:color w:val="000000" w:themeColor="text1"/>
                    </w:rPr>
                    <w:t>з/п</w:t>
                  </w:r>
                </w:p>
              </w:tc>
              <w:tc>
                <w:tcPr>
                  <w:tcW w:w="1097" w:type="dxa"/>
                  <w:tcBorders>
                    <w:top w:val="single" w:sz="4" w:space="0" w:color="000000"/>
                    <w:left w:val="single" w:sz="4" w:space="0" w:color="000000"/>
                    <w:bottom w:val="single" w:sz="4" w:space="0" w:color="000000"/>
                  </w:tcBorders>
                </w:tcPr>
                <w:p>
                  <w:pPr>
                    <w:pStyle w:val="Normal"/>
                    <w:widowControl w:val="false"/>
                    <w:ind w:left="-15" w:right="-108" w:hanging="0"/>
                    <w:jc w:val="center"/>
                    <w:rPr>
                      <w:color w:val="000000" w:themeColor="text1"/>
                    </w:rPr>
                  </w:pPr>
                  <w:r>
                    <w:rPr>
                      <w:color w:val="000000" w:themeColor="text1"/>
                    </w:rPr>
                    <w:t>Замовник</w:t>
                  </w:r>
                </w:p>
              </w:tc>
              <w:tc>
                <w:tcPr>
                  <w:tcW w:w="1113" w:type="dxa"/>
                  <w:tcBorders>
                    <w:top w:val="single" w:sz="4" w:space="0" w:color="000000"/>
                    <w:left w:val="single" w:sz="4" w:space="0" w:color="000000"/>
                    <w:bottom w:val="single" w:sz="4" w:space="0" w:color="000000"/>
                  </w:tcBorders>
                </w:tcPr>
                <w:p>
                  <w:pPr>
                    <w:pStyle w:val="Normal"/>
                    <w:widowControl w:val="false"/>
                    <w:ind w:left="-15" w:right="-108" w:hanging="0"/>
                    <w:jc w:val="center"/>
                    <w:rPr>
                      <w:color w:val="000000" w:themeColor="text1"/>
                    </w:rPr>
                  </w:pPr>
                  <w:r>
                    <w:rPr>
                      <w:color w:val="000000" w:themeColor="text1"/>
                    </w:rPr>
                    <w:t>Предмет договору</w:t>
                  </w:r>
                </w:p>
              </w:tc>
              <w:tc>
                <w:tcPr>
                  <w:tcW w:w="1049" w:type="dxa"/>
                  <w:tcBorders>
                    <w:top w:val="single" w:sz="4" w:space="0" w:color="000000"/>
                    <w:left w:val="single" w:sz="4" w:space="0" w:color="000000"/>
                    <w:bottom w:val="single" w:sz="4" w:space="0" w:color="000000"/>
                  </w:tcBorders>
                </w:tcPr>
                <w:p>
                  <w:pPr>
                    <w:pStyle w:val="Normal"/>
                    <w:widowControl w:val="false"/>
                    <w:ind w:left="-15" w:right="-108" w:hanging="0"/>
                    <w:jc w:val="center"/>
                    <w:rPr>
                      <w:color w:val="000000" w:themeColor="text1"/>
                    </w:rPr>
                  </w:pPr>
                  <w:r>
                    <w:rPr>
                      <w:color w:val="000000" w:themeColor="text1"/>
                    </w:rPr>
                    <w:t>Вартість договору</w:t>
                  </w:r>
                </w:p>
              </w:tc>
              <w:tc>
                <w:tcPr>
                  <w:tcW w:w="2697" w:type="dxa"/>
                  <w:tcBorders>
                    <w:top w:val="single" w:sz="4" w:space="0" w:color="000000"/>
                    <w:left w:val="single" w:sz="4" w:space="0" w:color="000000"/>
                    <w:bottom w:val="single" w:sz="4" w:space="0" w:color="000000"/>
                    <w:right w:val="single" w:sz="4" w:space="0" w:color="000000"/>
                  </w:tcBorders>
                </w:tcPr>
                <w:p>
                  <w:pPr>
                    <w:pStyle w:val="Normal"/>
                    <w:widowControl w:val="false"/>
                    <w:ind w:left="-15" w:right="-108" w:hanging="0"/>
                    <w:jc w:val="center"/>
                    <w:rPr>
                      <w:color w:val="000000" w:themeColor="text1"/>
                    </w:rPr>
                  </w:pPr>
                  <w:r>
                    <w:rPr>
                      <w:color w:val="000000" w:themeColor="text1"/>
                    </w:rPr>
                    <w:t>Номер оголошення на веб-порталі Уповноваженого органу</w:t>
                  </w:r>
                </w:p>
              </w:tc>
            </w:tr>
            <w:tr>
              <w:trPr/>
              <w:tc>
                <w:tcPr>
                  <w:tcW w:w="1022" w:type="dxa"/>
                  <w:tcBorders>
                    <w:top w:val="single" w:sz="4" w:space="0" w:color="000000"/>
                    <w:left w:val="single" w:sz="4" w:space="0" w:color="000000"/>
                    <w:bottom w:val="single" w:sz="4" w:space="0" w:color="000000"/>
                  </w:tcBorders>
                </w:tcPr>
                <w:p>
                  <w:pPr>
                    <w:pStyle w:val="Normal"/>
                    <w:widowControl w:val="false"/>
                    <w:ind w:left="-15" w:right="-154" w:hanging="0"/>
                    <w:jc w:val="center"/>
                    <w:rPr>
                      <w:color w:val="000000" w:themeColor="text1"/>
                    </w:rPr>
                  </w:pPr>
                  <w:r>
                    <w:rPr>
                      <w:color w:val="000000" w:themeColor="text1"/>
                    </w:rPr>
                    <w:t>1</w:t>
                  </w:r>
                </w:p>
              </w:tc>
              <w:tc>
                <w:tcPr>
                  <w:tcW w:w="1097"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t>2</w:t>
                  </w:r>
                </w:p>
              </w:tc>
              <w:tc>
                <w:tcPr>
                  <w:tcW w:w="1113"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t>3</w:t>
                  </w:r>
                </w:p>
              </w:tc>
              <w:tc>
                <w:tcPr>
                  <w:tcW w:w="1049"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t>4</w:t>
                  </w:r>
                </w:p>
              </w:tc>
              <w:tc>
                <w:tcPr>
                  <w:tcW w:w="2697"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center"/>
                    <w:rPr>
                      <w:color w:val="000000" w:themeColor="text1"/>
                    </w:rPr>
                  </w:pPr>
                  <w:r>
                    <w:rPr>
                      <w:color w:val="000000" w:themeColor="text1"/>
                    </w:rPr>
                    <w:t>5</w:t>
                  </w:r>
                </w:p>
              </w:tc>
            </w:tr>
            <w:tr>
              <w:trPr/>
              <w:tc>
                <w:tcPr>
                  <w:tcW w:w="1022" w:type="dxa"/>
                  <w:tcBorders>
                    <w:top w:val="single" w:sz="4" w:space="0" w:color="000000"/>
                    <w:left w:val="single" w:sz="4" w:space="0" w:color="000000"/>
                    <w:bottom w:val="single" w:sz="4" w:space="0" w:color="000000"/>
                  </w:tcBorders>
                </w:tcPr>
                <w:p>
                  <w:pPr>
                    <w:pStyle w:val="Normal"/>
                    <w:widowControl w:val="false"/>
                    <w:ind w:left="-15" w:right="-154" w:hanging="0"/>
                    <w:jc w:val="center"/>
                    <w:rPr>
                      <w:color w:val="000000" w:themeColor="text1"/>
                    </w:rPr>
                  </w:pPr>
                  <w:r>
                    <w:rPr>
                      <w:color w:val="000000" w:themeColor="text1"/>
                    </w:rPr>
                  </w:r>
                </w:p>
              </w:tc>
              <w:tc>
                <w:tcPr>
                  <w:tcW w:w="1097"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r>
                </w:p>
              </w:tc>
              <w:tc>
                <w:tcPr>
                  <w:tcW w:w="1113"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r>
                </w:p>
              </w:tc>
              <w:tc>
                <w:tcPr>
                  <w:tcW w:w="1049" w:type="dxa"/>
                  <w:tcBorders>
                    <w:top w:val="single" w:sz="4" w:space="0" w:color="000000"/>
                    <w:left w:val="single" w:sz="4" w:space="0" w:color="000000"/>
                    <w:bottom w:val="single" w:sz="4" w:space="0" w:color="000000"/>
                  </w:tcBorders>
                </w:tcPr>
                <w:p>
                  <w:pPr>
                    <w:pStyle w:val="Normal"/>
                    <w:widowControl w:val="false"/>
                    <w:ind w:left="-15" w:hanging="0"/>
                    <w:jc w:val="center"/>
                    <w:rPr>
                      <w:color w:val="000000" w:themeColor="text1"/>
                    </w:rPr>
                  </w:pPr>
                  <w:r>
                    <w:rPr>
                      <w:color w:val="000000" w:themeColor="text1"/>
                    </w:rPr>
                  </w:r>
                </w:p>
              </w:tc>
              <w:tc>
                <w:tcPr>
                  <w:tcW w:w="2697" w:type="dxa"/>
                  <w:tcBorders>
                    <w:top w:val="single" w:sz="4" w:space="0" w:color="000000"/>
                    <w:left w:val="single" w:sz="4" w:space="0" w:color="000000"/>
                    <w:bottom w:val="single" w:sz="4" w:space="0" w:color="000000"/>
                    <w:right w:val="single" w:sz="4" w:space="0" w:color="000000"/>
                  </w:tcBorders>
                </w:tcPr>
                <w:p>
                  <w:pPr>
                    <w:pStyle w:val="Normal"/>
                    <w:widowControl w:val="false"/>
                    <w:ind w:left="-15" w:hanging="0"/>
                    <w:jc w:val="center"/>
                    <w:rPr>
                      <w:color w:val="000000" w:themeColor="text1"/>
                    </w:rPr>
                  </w:pPr>
                  <w:r>
                    <w:rPr>
                      <w:color w:val="000000" w:themeColor="text1"/>
                    </w:rPr>
                  </w:r>
                </w:p>
              </w:tc>
            </w:tr>
          </w:tbl>
          <w:p>
            <w:pPr>
              <w:pStyle w:val="ListParagraph"/>
              <w:widowControl w:val="false"/>
              <w:shd w:val="clear" w:color="auto" w:fill="FFFFFF"/>
              <w:tabs>
                <w:tab w:val="clear" w:pos="708"/>
                <w:tab w:val="left" w:pos="5222" w:leader="underscore"/>
              </w:tabs>
              <w:spacing w:lineRule="auto" w:line="240"/>
              <w:ind w:left="705" w:hanging="0"/>
              <w:jc w:val="both"/>
              <w:rPr>
                <w:rFonts w:ascii="Times New Roman" w:hAnsi="Times New Roman"/>
                <w:color w:val="000000" w:themeColor="text1"/>
                <w:sz w:val="24"/>
                <w:szCs w:val="24"/>
                <w:lang w:eastAsia="zh-CN"/>
              </w:rPr>
            </w:pPr>
            <w:r>
              <w:rPr>
                <w:rFonts w:ascii="Times New Roman" w:hAnsi="Times New Roman"/>
                <w:sz w:val="24"/>
                <w:szCs w:val="24"/>
              </w:rPr>
              <w:t xml:space="preserve">  </w:t>
            </w:r>
            <w:r>
              <w:rPr>
                <w:rFonts w:ascii="Times New Roman" w:hAnsi="Times New Roman"/>
                <w:color w:val="000000" w:themeColor="text1"/>
                <w:sz w:val="24"/>
                <w:szCs w:val="24"/>
                <w:lang w:eastAsia="zh-CN"/>
              </w:rPr>
              <w:t>* Допускається надання договорів, за якими Учасник був субпідрядником під час виконання робіт (частини робіт) за аналогічним (аналогічними) договором (договорами).</w:t>
            </w:r>
          </w:p>
          <w:p>
            <w:pPr>
              <w:pStyle w:val="Normal"/>
              <w:widowControl w:val="false"/>
              <w:shd w:val="clear" w:color="auto" w:fill="FFFFFF"/>
              <w:tabs>
                <w:tab w:val="clear" w:pos="708"/>
                <w:tab w:val="left" w:pos="5222" w:leader="underscore"/>
              </w:tabs>
              <w:ind w:left="-15" w:hanging="0"/>
              <w:jc w:val="both"/>
              <w:rPr>
                <w:rFonts w:eastAsia="Times New Roman"/>
              </w:rPr>
            </w:pPr>
            <w:r>
              <w:rPr>
                <w:rFonts w:eastAsia="Times New Roman"/>
              </w:rPr>
            </w:r>
          </w:p>
          <w:p>
            <w:pPr>
              <w:pStyle w:val="Normal"/>
              <w:widowControl w:val="false"/>
              <w:jc w:val="both"/>
              <w:rPr/>
            </w:pPr>
            <w:r>
              <w:rPr>
                <w:rFonts w:eastAsia="Times New Roman"/>
                <w:color w:val="000000"/>
              </w:rPr>
              <w:t xml:space="preserve">Аналогічним є договір, який (кожен окремо або у сукупності)  містить </w:t>
            </w:r>
            <w:r>
              <w:rPr/>
              <w:t>у собі роботи усі наступні роботи: загальнобудівельні роботи, роботи з заземлення, роботи з улаштування блискавкозихисту.</w:t>
            </w:r>
          </w:p>
          <w:p>
            <w:pPr>
              <w:pStyle w:val="Normal"/>
              <w:widowControl w:val="false"/>
              <w:shd w:val="clear" w:color="auto" w:fill="FFFFFF"/>
              <w:tabs>
                <w:tab w:val="clear" w:pos="708"/>
                <w:tab w:val="left" w:pos="5222" w:leader="underscore"/>
              </w:tabs>
              <w:ind w:left="-15" w:hanging="0"/>
              <w:jc w:val="both"/>
              <w:rPr>
                <w:color w:val="000000"/>
              </w:rPr>
            </w:pPr>
            <w:r>
              <w:rPr>
                <w:color w:val="000000"/>
              </w:rPr>
              <w:t>Договори мають бути виконаними в повному обсязі.</w:t>
            </w:r>
          </w:p>
          <w:p>
            <w:pPr>
              <w:pStyle w:val="NoSpacing"/>
              <w:widowControl w:val="false"/>
              <w:jc w:val="both"/>
              <w:rPr>
                <w:rFonts w:ascii="Times New Roman" w:hAnsi="Times New Roman" w:cs="Times New Roman"/>
                <w:lang w:val="uk-UA"/>
              </w:rPr>
            </w:pPr>
            <w:r>
              <w:rPr>
                <w:rFonts w:cs="Times New Roman" w:ascii="Times New Roman" w:hAnsi="Times New Roman"/>
              </w:rPr>
              <w:t xml:space="preserve">Аналогічні договори надаються </w:t>
            </w:r>
            <w:r>
              <w:rPr>
                <w:rFonts w:cs="Times New Roman" w:ascii="Times New Roman" w:hAnsi="Times New Roman"/>
                <w:color w:val="000000"/>
              </w:rPr>
              <w:t>з усіма додатками, які зазначені в договорі.</w:t>
            </w:r>
          </w:p>
          <w:p>
            <w:pPr>
              <w:pStyle w:val="Normal"/>
              <w:widowControl w:val="false"/>
              <w:spacing w:before="48" w:after="0"/>
              <w:ind w:right="113" w:hanging="0"/>
              <w:jc w:val="both"/>
              <w:rPr/>
            </w:pPr>
            <w:r>
              <w:rPr>
                <w:rStyle w:val="12"/>
                <w:rFonts w:eastAsia="Calibri" w:cs="Times New Roman"/>
                <w:sz w:val="24"/>
                <w:szCs w:val="24"/>
              </w:rPr>
              <w:t xml:space="preserve">Також необхідно надати копію відгуку про виконання учасником аналогічних договорів (зазначених у довідці) у повному обсязі від замовників. Відгук повинен містити інформацію про назву предмету закупівлі, номер і дату договору,  інформацію про виконання договору в повному обсязі </w:t>
            </w:r>
            <w:r>
              <w:rPr>
                <w:rFonts w:cs="Times New Roman"/>
                <w:color w:val="000000"/>
                <w:sz w:val="24"/>
                <w:szCs w:val="24"/>
                <w:lang w:val="uk-UA"/>
              </w:rPr>
              <w:t>та датований не раніше вересня 2022 року.</w:t>
            </w:r>
          </w:p>
        </w:tc>
      </w:tr>
    </w:tbl>
    <w:p>
      <w:pPr>
        <w:pStyle w:val="Normal"/>
        <w:shd w:val="clear" w:color="auto" w:fill="FFFFFF"/>
        <w:suppressAutoHyphens w:val="true"/>
        <w:spacing w:before="0" w:after="120"/>
        <w:jc w:val="both"/>
        <w:rPr>
          <w:lang w:val="uk-UA"/>
        </w:rPr>
      </w:pPr>
      <w:r>
        <w:rPr>
          <w:lang w:val="uk-UA"/>
        </w:rPr>
      </w:r>
    </w:p>
    <w:p>
      <w:pPr>
        <w:pStyle w:val="NormalWeb"/>
        <w:widowControl w:val="false"/>
        <w:spacing w:beforeAutospacing="0" w:before="0" w:afterAutospacing="0" w:after="0"/>
        <w:ind w:right="113" w:hanging="0"/>
        <w:jc w:val="both"/>
        <w:rPr/>
      </w:pPr>
      <w:r>
        <w:rPr/>
        <w:t xml:space="preserve">Документальне підтвердження відповідності пропозиції учасника вимогам документації також необхідно завантажити:   </w:t>
      </w:r>
    </w:p>
    <w:p>
      <w:pPr>
        <w:pStyle w:val="NormalWeb"/>
        <w:widowControl w:val="false"/>
        <w:numPr>
          <w:ilvl w:val="0"/>
          <w:numId w:val="2"/>
        </w:numPr>
        <w:spacing w:beforeAutospacing="0" w:before="0" w:afterAutospacing="0" w:after="0"/>
        <w:ind w:left="1080" w:right="113" w:hanging="360"/>
        <w:jc w:val="both"/>
        <w:rPr/>
      </w:pPr>
      <w:r>
        <w:rPr/>
        <w:t>договірну ціну;</w:t>
      </w:r>
    </w:p>
    <w:p>
      <w:pPr>
        <w:pStyle w:val="NormalWeb"/>
        <w:widowControl w:val="false"/>
        <w:numPr>
          <w:ilvl w:val="0"/>
          <w:numId w:val="2"/>
        </w:numPr>
        <w:spacing w:beforeAutospacing="0" w:before="0" w:afterAutospacing="0" w:after="0"/>
        <w:ind w:left="1080" w:right="113" w:hanging="360"/>
        <w:jc w:val="both"/>
        <w:rPr/>
      </w:pPr>
      <w:r>
        <w:rPr/>
        <w:t>пояснювальну записку;</w:t>
      </w:r>
    </w:p>
    <w:p>
      <w:pPr>
        <w:pStyle w:val="NormalWeb"/>
        <w:widowControl w:val="false"/>
        <w:numPr>
          <w:ilvl w:val="0"/>
          <w:numId w:val="2"/>
        </w:numPr>
        <w:spacing w:beforeAutospacing="0" w:before="0" w:afterAutospacing="0" w:after="0"/>
        <w:ind w:left="1080" w:right="113" w:hanging="360"/>
        <w:jc w:val="both"/>
        <w:rPr/>
      </w:pPr>
      <w:r>
        <w:rPr/>
        <w:t xml:space="preserve">зведений кошторисний розрахунок на підрядні роботи </w:t>
      </w:r>
    </w:p>
    <w:p>
      <w:pPr>
        <w:pStyle w:val="NormalWeb"/>
        <w:widowControl w:val="false"/>
        <w:numPr>
          <w:ilvl w:val="0"/>
          <w:numId w:val="2"/>
        </w:numPr>
        <w:spacing w:beforeAutospacing="0" w:before="0" w:afterAutospacing="0" w:after="0"/>
        <w:ind w:left="1080" w:right="113" w:hanging="360"/>
        <w:jc w:val="both"/>
        <w:rPr/>
      </w:pPr>
      <w:r>
        <w:rPr/>
        <w:t xml:space="preserve">локальні кошториси на підрядні роботи  </w:t>
      </w:r>
    </w:p>
    <w:p>
      <w:pPr>
        <w:pStyle w:val="NormalWeb"/>
        <w:widowControl w:val="false"/>
        <w:numPr>
          <w:ilvl w:val="0"/>
          <w:numId w:val="2"/>
        </w:numPr>
        <w:spacing w:beforeAutospacing="0" w:before="0" w:afterAutospacing="0" w:after="0"/>
        <w:ind w:left="1080" w:right="113" w:hanging="360"/>
        <w:jc w:val="both"/>
        <w:rPr/>
      </w:pPr>
      <w:r>
        <w:rPr/>
        <w:t>розрахунки загальновиробничих витрат до локальних кошторисів.</w:t>
      </w:r>
    </w:p>
    <w:p>
      <w:pPr>
        <w:pStyle w:val="NormalWeb"/>
        <w:widowControl w:val="false"/>
        <w:spacing w:beforeAutospacing="0" w:before="0" w:afterAutospacing="0" w:after="0"/>
        <w:ind w:right="113" w:hanging="0"/>
        <w:jc w:val="both"/>
        <w:rPr/>
      </w:pPr>
      <w:r>
        <w:rPr/>
      </w:r>
    </w:p>
    <w:p>
      <w:pPr>
        <w:pStyle w:val="NormalWeb"/>
        <w:widowControl w:val="false"/>
        <w:spacing w:beforeAutospacing="0" w:before="0" w:afterAutospacing="0" w:after="0"/>
        <w:ind w:right="113" w:hanging="0"/>
        <w:jc w:val="both"/>
        <w:rPr/>
      </w:pPr>
      <w:r>
        <w:rPr/>
      </w:r>
    </w:p>
    <w:p>
      <w:pPr>
        <w:pStyle w:val="Normal"/>
        <w:keepNext w:val="true"/>
        <w:keepLines/>
        <w:ind w:right="120" w:firstLine="455"/>
        <w:jc w:val="both"/>
        <w:rPr>
          <w:lang w:val="uk-UA"/>
        </w:rPr>
      </w:pPr>
      <w:r>
        <w:rPr>
          <w:lang w:val="uk-UA"/>
        </w:rPr>
        <w:t>Договірна ціна є динамічною (крім випадків передбачених цією документацією).</w:t>
      </w:r>
    </w:p>
    <w:p>
      <w:pPr>
        <w:pStyle w:val="Normal"/>
        <w:keepNext w:val="true"/>
        <w:keepLines/>
        <w:ind w:right="120" w:firstLine="455"/>
        <w:jc w:val="both"/>
        <w:rPr>
          <w:lang w:val="uk-UA"/>
        </w:rPr>
      </w:pPr>
      <w:r>
        <w:rPr>
          <w:lang w:val="uk-UA"/>
        </w:rPr>
        <w:t xml:space="preserve">Ціну пропозиції слід визначати відповідно до вимог щодо термінів закінчення робіт, технології виконання робіт, використання конкретних матеріалів і конструкцій, якості будівельно-монтажних робіт,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w:t>
      </w:r>
    </w:p>
    <w:p>
      <w:pPr>
        <w:pStyle w:val="Normal"/>
        <w:keepNext w:val="true"/>
        <w:keepLines/>
        <w:ind w:right="120" w:firstLine="455"/>
        <w:jc w:val="both"/>
        <w:rPr>
          <w:lang w:val="uk-UA"/>
        </w:rPr>
      </w:pPr>
      <w:r>
        <w:rPr>
          <w:lang w:val="uk-UA"/>
        </w:rPr>
        <w:t xml:space="preserve">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 </w:t>
      </w:r>
    </w:p>
    <w:p>
      <w:pPr>
        <w:pStyle w:val="Normal"/>
        <w:keepNext w:val="true"/>
        <w:keepLines/>
        <w:ind w:right="120" w:firstLine="455"/>
        <w:jc w:val="both"/>
        <w:rPr>
          <w:lang w:val="uk-UA"/>
        </w:rPr>
      </w:pPr>
      <w:r>
        <w:rPr>
          <w:lang w:val="uk-UA"/>
        </w:rPr>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t xml:space="preserve">      </w:t>
      </w:r>
      <w:r>
        <w:rPr>
          <w:lang w:val="uk-UA"/>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rPr>
          <w:lang w:val="uk-UA"/>
        </w:rPr>
      </w:pPr>
      <w:r>
        <w:rPr>
          <w:lang w:val="uk-UA"/>
        </w:rPr>
        <w:t xml:space="preserve">АНТИДЕМПІНГОВЕ ЗАСТЕРЕЖЕННЯ ЗАМОВНИКА: </w:t>
      </w:r>
    </w:p>
    <w:p>
      <w:pPr>
        <w:pStyle w:val="Normal"/>
        <w:jc w:val="both"/>
        <w:rPr>
          <w:bCs/>
          <w:lang w:val="uk-UA"/>
        </w:rPr>
      </w:pPr>
      <w:r>
        <w:rPr>
          <w:lang w:val="uk-UA"/>
        </w:rPr>
        <w:t>У разі зниження Учасником ціни остаточної пропозиції на більше ніж 2% (4</w:t>
      </w:r>
      <w:r>
        <w:rPr/>
        <w:t> </w:t>
      </w:r>
      <w:r>
        <w:rPr>
          <w:lang w:val="uk-UA"/>
        </w:rPr>
        <w:t xml:space="preserve">085 </w:t>
      </w:r>
      <w:r>
        <w:rPr>
          <w:lang w:val="en-US"/>
        </w:rPr>
        <w:t>784,6</w:t>
      </w:r>
      <w:r>
        <w:rPr>
          <w:lang w:val="en-US"/>
        </w:rPr>
        <w:t>4</w:t>
      </w:r>
      <w:r>
        <w:rPr>
          <w:lang w:val="uk-UA"/>
        </w:rPr>
        <w:t xml:space="preserve"> грн. з ПДВ (або менше) (у разі якщо учасник є платником ПДВ) та менше) від очікуваної вартості предмета закупівлі, завантажена договірна ціна для такого учасника повинна бути твердою.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lang w:val="uk-UA"/>
        </w:rPr>
        <w:t xml:space="preserve">Учасник торгів, початкова пропозиція якого більше ніж на 2% нижча очікуваної вартості предмета закупівлі, зобов’язаний у складі своєї тендерної пропозиції надати детальне обгрунтування запропонованої ціни для виконання робіт за предметом закупівлі. </w:t>
      </w:r>
      <w:r>
        <w:rPr/>
        <w:t>Детальне обґрунтування початкової пропозиції подається у вигляді гарантійного листа з додатками. Гарантійний лист повинен містити предмет закупівлі, розмір початкової пропозиції, реквізити Учасника (повне найменування, адреса, прізвище, ім'я, по-батькові керівника та номер телефону), гарантію про те, що роботи будуть виконані якісно та в повному обсязі відповідно до умов договору та на суму початкової пропозиції. Додатки до гарантійного листа Учасника повинні містити: гарантійні листи від виробників, та/або дилерів, та/або дистриб’юторів</w:t>
      </w:r>
      <w:r>
        <w:rPr>
          <w:lang w:val="uk-UA"/>
        </w:rPr>
        <w:t xml:space="preserve"> </w:t>
      </w:r>
      <w:r>
        <w:rPr/>
        <w:t>щодо поставки матеріальних ресурсів (виробів, обладнання, тощо) в обсягах, необхідних для виконання робіт за предметом закупівлі, з вказівкою у гарантійних листах предмету закупівлі, обсягів поставки та вартості за одиницю матеріальних ресурсів (виробів, обладнання, тощо) за цінами, що пропонуються Учасником.</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Якщо матеріальні ресурси (вироби, обладнання, тощо), які будуть використовуватися при виконанні робіт знаходяться у власності учасника, тоді необхідно надати підтверджуючі документи на отримання матеріальних ресурсів (виробів, обладнання, тощо) з вказівкою їх вартості та документи, які підтверджують наявність матеріальних ресурсів (виробів, обладнання, тощо) у учасника на дату подання тендерної пропозиції (оборотно-сальдова відомість/витяг з оборотно-сальдової відомості тощо).</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 xml:space="preserve">При цьому Замовник зауважує, що додатки до гарантійного листа мають бути чітко обгрунтованими, та такими, що надають документальне підтвердження суттєвому заниженню вартості предмету закупівлі. Окремо зауважимо, що кошторисні розрахунки не можуть виступати у ролі додатків до даного гарантійного листа, так як є окремим документом, що подається у складі тендерної пропозиції.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Учасник торгів, остаточна пропозиція якого за результатами автоматичної оцінки визначена, як найбільш економічно вигідна та має статус «Переможець», але за результатами аукціону більше ніж на</w:t>
      </w:r>
      <w:r>
        <w:rPr>
          <w:lang w:val="uk-UA"/>
        </w:rPr>
        <w:t xml:space="preserve"> 2</w:t>
      </w:r>
      <w:r>
        <w:rPr/>
        <w:t xml:space="preserve"> % нижча очікуваної вартості предмета закупівлі, зобов’язаний протягом доби після настання цієї події надати детальне обгрунтування запропонованої ним ціни за результатами аукціону, шляхом надання замовнику детального обґрунтування остаточної пропозиції, яке  подається у вигляді гарантійного листа з додатками, зазначеними у попередніх абзацах даного розділу.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 xml:space="preserve">При цьому Замовник зауважує, що додатки до гарантійного листа мають бути чітко обгрунтованими, та такими, що надають документальне підтвердження суттєвому заниженню вартості предмету закупівлі. Окремо зауважимо, що кошторисні розрахунки не можуть виступати у ролі додатків до даного гарантійного листа, так як є окремим документом, що подається переможцем торгів до підписання договору. </w:t>
      </w:r>
    </w:p>
    <w:p>
      <w:pPr>
        <w:pStyle w:val="Normal"/>
        <w:tabs>
          <w:tab w:val="clear" w:pos="708"/>
          <w:tab w:val="left" w:pos="10076" w:leader="none"/>
          <w:tab w:val="left" w:pos="10992" w:leader="none"/>
          <w:tab w:val="left" w:pos="11908" w:leader="none"/>
          <w:tab w:val="left" w:pos="12824" w:leader="none"/>
          <w:tab w:val="left" w:pos="13740" w:leader="none"/>
          <w:tab w:val="left" w:pos="14656" w:leader="none"/>
        </w:tabs>
        <w:jc w:val="both"/>
        <w:rPr/>
      </w:pPr>
      <w:r>
        <w:rPr/>
        <w:t>Ненадання Учасником вищезазначених документів є відмовою від подальшого підписання договору про закупівлю відповідно до вимог тендерної документації, така тендерна пропозиція буде відхилена замовником відповідно до абзацу першого п.3 ч.1 ст.31 Закону.</w:t>
      </w:r>
    </w:p>
    <w:p>
      <w:pPr>
        <w:pStyle w:val="NormalWeb"/>
        <w:keepNext w:val="true"/>
        <w:keepLines/>
        <w:spacing w:beforeAutospacing="0" w:before="0" w:afterAutospacing="0" w:after="0"/>
        <w:ind w:right="120" w:firstLine="455"/>
        <w:jc w:val="both"/>
        <w:rPr/>
      </w:pPr>
      <w:r>
        <w:rPr/>
        <w:t xml:space="preserve">Замовник має право перевірити відповідність наявних матеріальних ресурсів (виробів, обладнання, тощо) у Учасника-Переможця документам, які були надані Замовнику для підтвердження інформації, зазначеної в гарантійному листі щодо наявності та вартості всіх матеріальних ресурсів (виробів, обладнання, тощо).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   </w:t>
      </w:r>
    </w:p>
    <w:p>
      <w:pPr>
        <w:pStyle w:val="Normal"/>
        <w:keepNext w:val="true"/>
        <w:keepLines/>
        <w:ind w:right="120" w:firstLine="455"/>
        <w:jc w:val="both"/>
        <w:rPr/>
      </w:pPr>
      <w:r>
        <w:rPr/>
        <w:t xml:space="preserve">Розрахунок ціни пропозиції подається в сканованому вигляді, виконаний у програмному комплексі АВК-5 (надати копію ліцензії) та додатково в електронному вигляді у форматі інформаційного блоку даних </w:t>
      </w:r>
      <w:r>
        <w:rPr>
          <w:lang w:val="en-US"/>
        </w:rPr>
        <w:t>imd</w:t>
      </w:r>
      <w:r>
        <w:rPr/>
        <w:t>.</w:t>
      </w:r>
    </w:p>
    <w:p>
      <w:pPr>
        <w:pStyle w:val="Normal"/>
        <w:keepNext w:val="true"/>
        <w:keepLines/>
        <w:ind w:right="120" w:firstLine="455"/>
        <w:jc w:val="both"/>
        <w:rPr/>
      </w:pPr>
      <w:r>
        <w:rPr/>
        <w:t>Учасник в складі своєї пропозиції надає погоджений Замовником акт огляду об’єкту та визначення фактичного об’єму робіт згідно цієї документації.</w:t>
      </w:r>
    </w:p>
    <w:p>
      <w:pPr>
        <w:pStyle w:val="NormalWeb"/>
        <w:keepNext w:val="true"/>
        <w:keepLines/>
        <w:spacing w:beforeAutospacing="0" w:before="0" w:afterAutospacing="0" w:after="0"/>
        <w:ind w:right="120" w:firstLine="455"/>
        <w:jc w:val="both"/>
        <w:rPr>
          <w:lang w:val="ru-RU"/>
        </w:rPr>
      </w:pPr>
      <w:r>
        <w:rPr>
          <w:lang w:val="ru-RU"/>
        </w:rPr>
      </w:r>
    </w:p>
    <w:p>
      <w:pPr>
        <w:pStyle w:val="NormalWeb"/>
        <w:spacing w:beforeAutospacing="0" w:before="0" w:afterAutospacing="0" w:after="0"/>
        <w:ind w:firstLine="459"/>
        <w:jc w:val="both"/>
        <w:rPr>
          <w:color w:val="000000"/>
        </w:rPr>
      </w:pPr>
      <w:r>
        <w:rPr>
          <w:color w:val="000000"/>
        </w:rPr>
        <w:t xml:space="preserve">Технічні, якісні характеристики предмета закупівлі передбачають застосування заходів із захисту довкілля, відповідно до чого у складі пропозиції учасником надається гарантійний лист (довідка, тощо) довільної форми щодо застосування заходів із захисту довкілля під час виконання робіт за предметом закупівлі. Ціна пропозиції Учасника означає суму (з урахуванням ПДВ, у разі, якщо учасник не є платником ПДВ зазначити «не платник»), за яку Учасник зобов’язується виконати всі види робіт, передбачених проектною документацією. Відповідальність за виконання вимог екологічної безпеки несе учасник - переможець. </w:t>
      </w:r>
    </w:p>
    <w:p>
      <w:pPr>
        <w:pStyle w:val="NormalWeb"/>
        <w:spacing w:beforeAutospacing="0" w:before="0" w:afterAutospacing="0" w:after="0"/>
        <w:ind w:firstLine="459"/>
        <w:jc w:val="both"/>
        <w:rPr/>
      </w:pPr>
      <w:r>
        <w:rPr/>
      </w:r>
    </w:p>
    <w:p>
      <w:pPr>
        <w:pStyle w:val="NormalWeb"/>
        <w:spacing w:beforeAutospacing="0" w:before="0" w:afterAutospacing="0" w:after="0"/>
        <w:ind w:firstLine="459"/>
        <w:jc w:val="both"/>
        <w:rPr>
          <w:color w:val="000000"/>
        </w:rPr>
      </w:pPr>
      <w:r>
        <w:rPr>
          <w:color w:val="000000"/>
        </w:rPr>
        <w:t> </w:t>
      </w:r>
      <w:r>
        <w:rPr>
          <w:color w:val="000000"/>
        </w:rPr>
        <w:t>Пропозиція повинна містити гарантійний лист про надання протоколу погодження договірної ціни на момент укладання договору. 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(у разі їх залучення).</w:t>
      </w:r>
    </w:p>
    <w:p>
      <w:pPr>
        <w:pStyle w:val="NormalWeb"/>
        <w:spacing w:beforeAutospacing="0" w:before="0" w:afterAutospacing="0" w:after="0"/>
        <w:ind w:firstLine="459"/>
        <w:jc w:val="both"/>
        <w:rPr/>
      </w:pPr>
      <w:r>
        <w:rPr/>
      </w:r>
    </w:p>
    <w:p>
      <w:pPr>
        <w:pStyle w:val="NormalWeb"/>
        <w:spacing w:beforeAutospacing="0" w:before="0" w:afterAutospacing="0" w:after="0"/>
        <w:ind w:firstLine="459"/>
        <w:jc w:val="both"/>
        <w:rPr/>
      </w:pPr>
      <w:r>
        <w:rPr/>
        <w:t>У разі, якщо учасник торгів є товариство з обмеженою та/або додатковою відповідальністю, такий учасник в складі   пропозиції повинен надати протокол загальних зборів учасників з посиланням на номер оголошення, згідно змісту якого уповноваженій посадовій/службовій особі учасника  надається дозвіл укладати договір за результатами даної (цієї) закупівлі та суми пропозиції.</w:t>
      </w:r>
    </w:p>
    <w:p>
      <w:pPr>
        <w:pStyle w:val="NormalWeb"/>
        <w:spacing w:beforeAutospacing="0" w:before="0" w:afterAutospacing="0" w:after="0"/>
        <w:ind w:firstLine="459"/>
        <w:jc w:val="both"/>
        <w:rPr/>
      </w:pPr>
      <w:r>
        <w:rPr/>
      </w:r>
    </w:p>
    <w:p>
      <w:pPr>
        <w:pStyle w:val="NormalWeb"/>
        <w:spacing w:beforeAutospacing="0" w:before="0" w:afterAutospacing="0" w:after="0"/>
        <w:ind w:firstLine="459"/>
        <w:jc w:val="both"/>
        <w:rPr>
          <w:i/>
          <w:i/>
          <w:lang w:val="ru-RU"/>
        </w:rPr>
      </w:pPr>
      <w:r>
        <w:rPr/>
        <w:t>Учасники повинні підтвердити відповідність своєї участі вимогам щодо етичної поведінки під час здійснення публічних закупівель згідно листа Мінекономрозвитку №3304-04/13647-06 від 01.04.2019 року. З огляду на це учасники подають у складі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pPr>
        <w:pStyle w:val="Normal"/>
        <w:ind w:left="142" w:hanging="0"/>
        <w:jc w:val="both"/>
        <w:rPr>
          <w:i/>
          <w:i/>
          <w:iCs/>
          <w:lang w:val="uk-UA"/>
        </w:rPr>
      </w:pPr>
      <w:r>
        <w:rPr>
          <w:i/>
          <w:iCs/>
          <w:lang w:val="uk-UA"/>
        </w:rPr>
      </w:r>
    </w:p>
    <w:p>
      <w:pPr>
        <w:pStyle w:val="NormalWeb"/>
        <w:widowControl w:val="false"/>
        <w:spacing w:beforeAutospacing="0" w:before="0" w:afterAutospacing="0" w:after="0"/>
        <w:ind w:right="113" w:hanging="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в якому вони наведені.</w:t>
      </w:r>
    </w:p>
    <w:p>
      <w:pPr>
        <w:pStyle w:val="Normal"/>
        <w:shd w:val="clear" w:color="auto" w:fill="FFFFFF"/>
        <w:suppressAutoHyphens w:val="true"/>
        <w:spacing w:before="0" w:after="120"/>
        <w:ind w:firstLine="709"/>
        <w:jc w:val="both"/>
        <w:rPr>
          <w:lang w:val="uk-UA"/>
        </w:rPr>
      </w:pPr>
      <w:r>
        <w:rPr>
          <w:lang w:val="uk-UA"/>
        </w:rPr>
        <w:t xml:space="preserve">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 </w:t>
      </w:r>
    </w:p>
    <w:p>
      <w:pPr>
        <w:pStyle w:val="Normal"/>
        <w:shd w:val="clear" w:color="auto" w:fill="FFFFFF"/>
        <w:suppressAutoHyphens w:val="true"/>
        <w:spacing w:before="0" w:after="120"/>
        <w:ind w:firstLine="709"/>
        <w:jc w:val="both"/>
        <w:rPr>
          <w:lang w:val="uk-UA"/>
        </w:rPr>
      </w:pPr>
      <w:r>
        <w:rPr>
          <w:lang w:val="uk-UA"/>
        </w:rPr>
        <w:t xml:space="preserve"> </w:t>
      </w:r>
    </w:p>
    <w:p>
      <w:pPr>
        <w:pStyle w:val="Normal"/>
        <w:shd w:val="clear" w:color="auto" w:fill="FFFFFF"/>
        <w:suppressAutoHyphens w:val="true"/>
        <w:spacing w:before="0" w:after="120"/>
        <w:ind w:firstLine="709"/>
        <w:jc w:val="center"/>
        <w:rPr>
          <w:lang w:val="uk-UA"/>
        </w:rPr>
      </w:pPr>
      <w:r>
        <w:rPr>
          <w:lang w:val="uk-UA"/>
        </w:rPr>
        <w:t>ДЕФЕКТНИЙ АКТ</w:t>
      </w:r>
    </w:p>
    <w:p>
      <w:pPr>
        <w:pStyle w:val="Normal"/>
        <w:rPr>
          <w:sz w:val="2"/>
          <w:szCs w:val="2"/>
          <w:lang w:val="uk-UA"/>
        </w:rPr>
      </w:pPr>
      <w:r>
        <w:rPr>
          <w:sz w:val="2"/>
          <w:szCs w:val="2"/>
          <w:lang w:val="uk-UA"/>
        </w:rPr>
      </w:r>
    </w:p>
    <w:tbl>
      <w:tblPr>
        <w:tblW w:w="10425" w:type="dxa"/>
        <w:jc w:val="left"/>
        <w:tblInd w:w="-361" w:type="dxa"/>
        <w:tblLayout w:type="fixed"/>
        <w:tblCellMar>
          <w:top w:w="0" w:type="dxa"/>
          <w:left w:w="28" w:type="dxa"/>
          <w:bottom w:w="0" w:type="dxa"/>
          <w:right w:w="28" w:type="dxa"/>
        </w:tblCellMar>
      </w:tblPr>
      <w:tblGrid>
        <w:gridCol w:w="574"/>
        <w:gridCol w:w="3"/>
        <w:gridCol w:w="52"/>
        <w:gridCol w:w="45"/>
        <w:gridCol w:w="4737"/>
        <w:gridCol w:w="604"/>
        <w:gridCol w:w="20"/>
        <w:gridCol w:w="10"/>
        <w:gridCol w:w="35"/>
        <w:gridCol w:w="1391"/>
        <w:gridCol w:w="14"/>
        <w:gridCol w:w="2"/>
        <w:gridCol w:w="41"/>
        <w:gridCol w:w="1321"/>
        <w:gridCol w:w="76"/>
        <w:gridCol w:w="51"/>
        <w:gridCol w:w="1371"/>
        <w:gridCol w:w="17"/>
        <w:gridCol w:w="60"/>
      </w:tblGrid>
      <w:tr>
        <w:trPr/>
        <w:tc>
          <w:tcPr>
            <w:tcW w:w="10364" w:type="dxa"/>
            <w:gridSpan w:val="18"/>
            <w:tcBorders/>
          </w:tcPr>
          <w:p>
            <w:pPr>
              <w:pStyle w:val="Normal"/>
              <w:widowControl w:val="false"/>
              <w:tabs>
                <w:tab w:val="clear" w:pos="708"/>
              </w:tabs>
              <w:bidi w:val="0"/>
              <w:spacing w:before="0" w:after="0"/>
              <w:ind w:left="0" w:right="0" w:hanging="0"/>
              <w:rPr>
                <w:highlight w:val="yellow"/>
                <w:lang w:val="uk-UA"/>
              </w:rPr>
            </w:pPr>
            <w:r>
              <w:rPr>
                <w:rFonts w:cs="Arial"/>
                <w:b w:val="false"/>
                <w:bCs w:val="false"/>
                <w:spacing w:val="-3"/>
                <w:sz w:val="24"/>
                <w:szCs w:val="24"/>
                <w:shd w:fill="auto" w:val="clear"/>
                <w:lang w:val="uk-UA"/>
              </w:rPr>
              <w:t xml:space="preserve">Поточний ремонт покрівлі корпусу А1 Вознесенської загальноосвітної школи І-ІІІ ступеня №5 </w:t>
            </w:r>
            <w:r>
              <w:rPr>
                <w:rFonts w:eastAsia="Times New Roman" w:cs="Arial"/>
                <w:b w:val="false"/>
                <w:bCs w:val="false"/>
                <w:spacing w:val="-3"/>
                <w:sz w:val="24"/>
                <w:szCs w:val="24"/>
                <w:shd w:fill="auto" w:val="clear"/>
                <w:lang w:val="uk-UA"/>
              </w:rPr>
              <w:t>Вознесенської міської ради по вул.Матросова, 205, в м.Вознесенськ Миколаївської області (ДК 021:2015 «Єдиний закупівельний словник»:45260000-7 - Покрівельні роботи та інші спеціалізовані будівельні роботи)</w:t>
            </w:r>
          </w:p>
        </w:tc>
        <w:tc>
          <w:tcPr>
            <w:tcW w:w="60" w:type="dxa"/>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5411" w:type="dxa"/>
            <w:gridSpan w:val="5"/>
            <w:tcBorders/>
          </w:tcPr>
          <w:p>
            <w:pPr>
              <w:pStyle w:val="Normal"/>
              <w:widowControl w:val="false"/>
              <w:tabs>
                <w:tab w:val="clear" w:pos="708"/>
              </w:tabs>
              <w:bidi w:val="0"/>
              <w:spacing w:before="0" w:after="0"/>
              <w:ind w:left="0" w:right="0" w:hanging="0"/>
              <w:rPr>
                <w:highlight w:val="yellow"/>
                <w:lang w:val="uk-UA"/>
              </w:rPr>
            </w:pPr>
            <w:r>
              <w:rPr/>
            </w:r>
          </w:p>
        </w:tc>
        <w:tc>
          <w:tcPr>
            <w:tcW w:w="4953" w:type="dxa"/>
            <w:gridSpan w:val="13"/>
            <w:tcBorders/>
          </w:tcPr>
          <w:p>
            <w:pPr>
              <w:pStyle w:val="Normal"/>
              <w:widowControl w:val="false"/>
              <w:tabs>
                <w:tab w:val="clear" w:pos="708"/>
              </w:tabs>
              <w:bidi w:val="0"/>
              <w:spacing w:before="0" w:after="0"/>
              <w:ind w:left="0" w:right="0" w:hanging="0"/>
              <w:jc w:val="center"/>
              <w:rPr>
                <w:highlight w:val="yellow"/>
                <w:lang w:val="uk-UA"/>
              </w:rPr>
            </w:pPr>
            <w:r>
              <w:rPr/>
            </w:r>
          </w:p>
        </w:tc>
        <w:tc>
          <w:tcPr>
            <w:tcW w:w="60" w:type="dxa"/>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10364" w:type="dxa"/>
            <w:gridSpan w:val="18"/>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Об'єми робіт</w:t>
            </w:r>
          </w:p>
        </w:tc>
        <w:tc>
          <w:tcPr>
            <w:tcW w:w="60" w:type="dxa"/>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577" w:type="dxa"/>
            <w:gridSpan w:val="2"/>
            <w:tcBorders>
              <w:top w:val="single" w:sz="12" w:space="0" w:color="000000"/>
              <w:left w:val="single" w:sz="12"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w:t>
            </w:r>
          </w:p>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Ч.ч.</w:t>
            </w:r>
          </w:p>
        </w:tc>
        <w:tc>
          <w:tcPr>
            <w:tcW w:w="5503" w:type="dxa"/>
            <w:gridSpan w:val="7"/>
            <w:tcBorders>
              <w:top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highlight w:val="yellow"/>
                <w:lang w:val="uk-UA"/>
              </w:rPr>
            </w:r>
          </w:p>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Найменування робіт і витрат</w:t>
            </w:r>
          </w:p>
        </w:tc>
        <w:tc>
          <w:tcPr>
            <w:tcW w:w="1448" w:type="dxa"/>
            <w:gridSpan w:val="4"/>
            <w:tcBorders>
              <w:top w:val="single" w:sz="12" w:space="0" w:color="000000"/>
              <w:lef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Одиниця</w:t>
            </w:r>
          </w:p>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виміру</w:t>
            </w:r>
          </w:p>
        </w:tc>
        <w:tc>
          <w:tcPr>
            <w:tcW w:w="1448" w:type="dxa"/>
            <w:gridSpan w:val="3"/>
            <w:tcBorders>
              <w:top w:val="single" w:sz="12" w:space="0" w:color="000000"/>
              <w:left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Кількість</w:t>
            </w:r>
          </w:p>
        </w:tc>
        <w:tc>
          <w:tcPr>
            <w:tcW w:w="1448" w:type="dxa"/>
            <w:gridSpan w:val="3"/>
            <w:tcBorders>
              <w:top w:val="single" w:sz="12" w:space="0" w:color="000000"/>
              <w:left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Примітка</w:t>
            </w:r>
          </w:p>
        </w:tc>
      </w:tr>
      <w:tr>
        <w:trPr/>
        <w:tc>
          <w:tcPr>
            <w:tcW w:w="577" w:type="dxa"/>
            <w:gridSpan w:val="2"/>
            <w:tcBorders>
              <w:top w:val="single" w:sz="4"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503" w:type="dxa"/>
            <w:gridSpan w:val="7"/>
            <w:tcBorders>
              <w:top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2</w:t>
            </w:r>
          </w:p>
        </w:tc>
        <w:tc>
          <w:tcPr>
            <w:tcW w:w="1448" w:type="dxa"/>
            <w:gridSpan w:val="4"/>
            <w:tcBorders>
              <w:top w:val="single" w:sz="4" w:space="0" w:color="000000"/>
              <w:left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44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4</w:t>
            </w:r>
          </w:p>
        </w:tc>
        <w:tc>
          <w:tcPr>
            <w:tcW w:w="1448" w:type="dxa"/>
            <w:gridSpan w:val="3"/>
            <w:tcBorders>
              <w:top w:val="single" w:sz="4" w:space="0" w:color="000000"/>
              <w:left w:val="single" w:sz="4" w:space="0" w:color="000000"/>
              <w:bottom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5</w:t>
            </w:r>
          </w:p>
        </w:tc>
      </w:tr>
      <w:tr>
        <w:trPr/>
        <w:tc>
          <w:tcPr>
            <w:tcW w:w="577" w:type="dxa"/>
            <w:gridSpan w:val="2"/>
            <w:tcBorders>
              <w:left w:val="single" w:sz="12"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503" w:type="dxa"/>
            <w:gridSpan w:val="7"/>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Розбирання покриттів покрівлі з хвилястих</w:t>
            </w:r>
          </w:p>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азбестоцементних листів</w:t>
            </w:r>
          </w:p>
        </w:tc>
        <w:tc>
          <w:tcPr>
            <w:tcW w:w="1448" w:type="dxa"/>
            <w:gridSpan w:val="4"/>
            <w:tcBorders>
              <w:lef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1140</w:t>
            </w:r>
          </w:p>
        </w:tc>
        <w:tc>
          <w:tcPr>
            <w:tcW w:w="1448" w:type="dxa"/>
            <w:gridSpan w:val="3"/>
            <w:tcBorders>
              <w:left w:val="single" w:sz="4" w:space="0" w:color="000000"/>
              <w:right w:val="single" w:sz="12" w:space="0" w:color="000000"/>
            </w:tcBorders>
          </w:tcPr>
          <w:p>
            <w:pPr>
              <w:pStyle w:val="Normal"/>
              <w:widowControl w:val="false"/>
              <w:tabs>
                <w:tab w:val="clear" w:pos="708"/>
              </w:tabs>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поясків, сандриків, жолобів, відливів, звисів</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тощо з листової сталі</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170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лат [решетування] з дощок з прозорами</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1140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крокв зі стояками та підкосами з дощок</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460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дерев'яних мауерлатів</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460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поясів в опалубці</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Арматура, клас А400-500, діаметр 16 мм</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0,78</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Арматура, клас А400-500, діаметр 12 мм</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0,45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Готування важкого бетону на щебені, клас бетону В15</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10,15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крокв з дощок</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21,94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(150*100)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(150*50)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(100*100)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14</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(200*50)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15</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 (100*50)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7,14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16</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Доска (150*30)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5,994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17</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Tytan Деревозахисний засіб 4F 5кг червоний</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(вогнебіозахист)</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22</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лат [решетування] з прозорами із дощок і</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брусків під покрівлю з листової сталі</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1203</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19</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Опорный столик 80x150 1.5мм оцинк</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20</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Гвинт для дерева з шестигранною голівкою, без сверла.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DIN 571. оцинкований 6.0*60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"WKRET-MET“ по дереву фосфатований. 4.2x90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3500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22</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‘WKRET-MET" по дереву фосфатований. 4,2x70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7000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23</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Шайба СМК збільшена, оцинк. М 12x37</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250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24</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Гайка СМК шестигранна, кл міц 6. оцинк М12 (уп.100 шт)</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250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25</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Шпилька СМК різьбова, кл міц 4.8, оциик. М12х1000</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26</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Гвозди 5* 150мм 5кг Метиз</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0,035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27</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Гвозди 4* 120мм 5кг Метиз</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0,14</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Гвозди 3,0*70мм 5кг Метиз</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0,01552056</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29</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Нанесення механiзованим способом в один шар</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вогнезахисного покриття з "Firebio impregnation" на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горизонтальнi i вертикальнi поверхнi дерев'яних</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конструкцiй</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1155</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7" w:type="dxa"/>
            <w:gridSpan w:val="2"/>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w:t>
            </w:r>
          </w:p>
        </w:tc>
        <w:tc>
          <w:tcPr>
            <w:tcW w:w="5503"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з рулонних матеріалів насухо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промазування кромок</w:t>
            </w:r>
          </w:p>
        </w:tc>
        <w:tc>
          <w:tcPr>
            <w:tcW w:w="1448"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4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1203</w:t>
            </w:r>
          </w:p>
        </w:tc>
        <w:tc>
          <w:tcPr>
            <w:tcW w:w="1448" w:type="dxa"/>
            <w:gridSpan w:val="3"/>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471" w:type="dxa"/>
            <w:gridSpan w:val="7"/>
            <w:tcBorders>
              <w:top w:val="single" w:sz="12"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2</w:t>
            </w:r>
          </w:p>
        </w:tc>
        <w:tc>
          <w:tcPr>
            <w:tcW w:w="1442" w:type="dxa"/>
            <w:gridSpan w:val="4"/>
            <w:tcBorders>
              <w:top w:val="single" w:sz="12" w:space="0" w:color="000000"/>
              <w:left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438" w:type="dxa"/>
            <w:gridSpan w:val="3"/>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4</w:t>
            </w:r>
          </w:p>
        </w:tc>
        <w:tc>
          <w:tcPr>
            <w:tcW w:w="1499" w:type="dxa"/>
            <w:gridSpan w:val="4"/>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5</w:t>
            </w:r>
          </w:p>
        </w:tc>
      </w:tr>
      <w:tr>
        <w:trPr/>
        <w:tc>
          <w:tcPr>
            <w:tcW w:w="574" w:type="dxa"/>
            <w:tcBorders>
              <w:left w:val="single" w:sz="12"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31</w:t>
            </w:r>
          </w:p>
        </w:tc>
        <w:tc>
          <w:tcPr>
            <w:tcW w:w="5471" w:type="dxa"/>
            <w:gridSpan w:val="7"/>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Супердифузионная мембрана 1300 Basic 1,5х50 (75м кв )</w:t>
            </w:r>
          </w:p>
        </w:tc>
        <w:tc>
          <w:tcPr>
            <w:tcW w:w="1442" w:type="dxa"/>
            <w:gridSpan w:val="4"/>
            <w:tcBorders>
              <w:lef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1383,45</w:t>
            </w:r>
          </w:p>
        </w:tc>
        <w:tc>
          <w:tcPr>
            <w:tcW w:w="1499" w:type="dxa"/>
            <w:gridSpan w:val="4"/>
            <w:tcBorders>
              <w:left w:val="single" w:sz="4" w:space="0" w:color="000000"/>
              <w:right w:val="single" w:sz="12" w:space="0" w:color="000000"/>
            </w:tcBorders>
          </w:tcPr>
          <w:p>
            <w:pPr>
              <w:pStyle w:val="Normal"/>
              <w:widowControl w:val="false"/>
              <w:tabs>
                <w:tab w:val="clear" w:pos="708"/>
              </w:tabs>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Скоба для степпера в х 11.3 х 0.7 мм, 1000шт Мю1</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1/20/40</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уп</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Скоба для степлера 8 х11.3 х 0.7 мм. 1000шт. Intertool</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Установлення контррейки</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1,69</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Рейка (50x30)</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1,77</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Монтаж покрівельного покриття з профільованого листа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при висоті будівлі до 25 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1215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Металопрофіль Т-20 А 0.45 мм 3005 поліестер мат 35</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мк Метипол</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1348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до дерева. WFD "Wkret-Met", 4.8x35 RAL 3005</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12000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Установлення бруса для підшивки</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1,09</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Рейка (50x30)</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0,33</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Доска (150*30)</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0,81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Підшивання стальним профільованим листом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Металопрофіль Т- 8 В 0.45 мм 1015 поліестер 25 мк</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Метипол</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138,4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Угол 40/40 внутрений 1015 №100 0.45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з листової сталі поясків, сандриків,</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підвіконних відливів</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Карнизная планка 3005 мат №200 0.45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Карнизная планка нижняя 1015  №250 0.45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Внутрений угол (эндова) 3005 мат №625 0.45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Планка стыка декоративная (эндова внешняя) 3005 мат</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w:t>
            </w:r>
            <w:r>
              <w:rPr>
                <w:rFonts w:cs="Arial" w:ascii="Arial" w:hAnsi="Arial"/>
                <w:spacing w:val="-3"/>
                <w:sz w:val="20"/>
                <w:szCs w:val="20"/>
                <w:lang w:val="uk-UA"/>
              </w:rPr>
              <w:t>250 0 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Планка примикання 3005 мат №250 0 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Конек прямой большой 3005 мат №312 0.45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Торцевая планка фигурная 3005 мат №250 0.45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Снегоупор 3005 мат №312 0.45 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Ущільнювач універсальний Н-60мм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142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Стрічка бутилова BUTYL TAPE (15мм х 25мп)</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рул</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Вентиляційна конькова стрічка ROL VENT 230</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(коричнева) 5м п /рул</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135</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до дерева. WFD "Wkret-Met", 4.8x35 RAL 1015</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3000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Герметик всепогодний (300 мл) прозорий</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59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з рулонних матеріалів насухо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промазування кромок</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Супердифузионная мембрана 1300 Basic 1,5х50 (75м кв )</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943</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Утеплення покриттів плитами мінераловатними насухо</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Мінераловатний утеплювач - 100мм</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844,6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з рулонних матеріалів насухо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промазування кромок</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Супердифузионная мембрана 1300 Basic 1,5х50 (75м кв )</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943</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Навішування водостічних труб, колін, відливів і лійок 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готових елементів</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284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Труба водостічна без раструба 4м корич. (130/90) 1/3</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Ринва водостічна 4м корич. (130/90) 1/4</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Воронка ринви корич (130/90) 1/4</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Відвід двораструбний 67 грд. корич. (130/90) 1/6</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70</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Відвід з одним раструбом 67 грд. корич. (130/90) 1/6</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71</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Заглушка наружна універсальна корич.(130/90) 1/20</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72</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Кутник ринви зовнішній 90 грд. корич. (130/90) 1/4</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73</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Кутник ринви внутрішній 90 грд. корич. (130/90) 1/4</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74</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Муфта ринви з вкладкою корич. (130/90) 1/4</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44</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75</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Муфта труби корич (130/90) 1/6</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21</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76</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Хомут ринви поліпропіленовий корич. (130/90) 1/20</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300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77</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Хомут труби поліпропіленовий корич. (130/90) 1/40</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78</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Саморіз до дерева. WFD "Wkret-Met", 4.8x35 RAL 8017</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750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574" w:type="dxa"/>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79</w:t>
            </w:r>
          </w:p>
        </w:tc>
        <w:tc>
          <w:tcPr>
            <w:tcW w:w="5471" w:type="dxa"/>
            <w:gridSpan w:val="7"/>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Дюбель М 12x200 для водостічної системи wavin (1/25)</w:t>
            </w:r>
          </w:p>
        </w:tc>
        <w:tc>
          <w:tcPr>
            <w:tcW w:w="1442" w:type="dxa"/>
            <w:gridSpan w:val="4"/>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438"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w:t>
            </w:r>
          </w:p>
        </w:tc>
        <w:tc>
          <w:tcPr>
            <w:tcW w:w="1499" w:type="dxa"/>
            <w:gridSpan w:val="4"/>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29" w:type="dxa"/>
            <w:gridSpan w:val="3"/>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1</w:t>
            </w:r>
          </w:p>
        </w:tc>
        <w:tc>
          <w:tcPr>
            <w:tcW w:w="5406" w:type="dxa"/>
            <w:gridSpan w:val="4"/>
            <w:tcBorders>
              <w:top w:val="single" w:sz="12"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2</w:t>
            </w:r>
          </w:p>
        </w:tc>
        <w:tc>
          <w:tcPr>
            <w:tcW w:w="1436" w:type="dxa"/>
            <w:gridSpan w:val="3"/>
            <w:tcBorders>
              <w:top w:val="single" w:sz="12" w:space="0" w:color="000000"/>
              <w:left w:val="single" w:sz="4" w:space="0" w:color="000000"/>
              <w:bottom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378" w:type="dxa"/>
            <w:gridSpan w:val="4"/>
            <w:tcBorders>
              <w:top w:val="single" w:sz="12" w:space="0" w:color="000000"/>
              <w:left w:val="single" w:sz="4" w:space="0" w:color="000000"/>
              <w:bottom w:val="single" w:sz="4" w:space="0" w:color="000000"/>
              <w:right w:val="single" w:sz="4"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4</w:t>
            </w:r>
          </w:p>
        </w:tc>
        <w:tc>
          <w:tcPr>
            <w:tcW w:w="1498" w:type="dxa"/>
            <w:gridSpan w:val="3"/>
            <w:tcBorders>
              <w:top w:val="single" w:sz="12" w:space="0" w:color="000000"/>
              <w:left w:val="single" w:sz="4" w:space="0" w:color="000000"/>
              <w:bottom w:val="single" w:sz="4" w:space="0" w:color="000000"/>
              <w:right w:val="single" w:sz="12" w:space="0" w:color="000000"/>
            </w:tcBorders>
            <w:vAlign w:val="center"/>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5</w:t>
            </w:r>
          </w:p>
        </w:tc>
        <w:tc>
          <w:tcPr>
            <w:tcW w:w="77" w:type="dxa"/>
            <w:gridSpan w:val="2"/>
            <w:tcBorders>
              <w:top w:val="single" w:sz="12" w:space="0" w:color="000000"/>
              <w:left w:val="single" w:sz="12" w:space="0" w:color="000000"/>
              <w:bottom w:val="single" w:sz="4" w:space="0" w:color="000000"/>
              <w:right w:val="single" w:sz="4" w:space="0" w:color="000000"/>
            </w:tcBorders>
            <w:vAlign w:val="center"/>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629" w:type="dxa"/>
            <w:gridSpan w:val="3"/>
            <w:tcBorders>
              <w:left w:val="single" w:sz="12"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80</w:t>
            </w:r>
          </w:p>
        </w:tc>
        <w:tc>
          <w:tcPr>
            <w:tcW w:w="5406" w:type="dxa"/>
            <w:gridSpan w:val="4"/>
            <w:tcBorders/>
          </w:tcPr>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Буріння ям глибиною до 2 м бурильно-крановими</w:t>
            </w:r>
          </w:p>
          <w:p>
            <w:pPr>
              <w:pStyle w:val="Normal"/>
              <w:widowControl w:val="false"/>
              <w:tabs>
                <w:tab w:val="clear" w:pos="708"/>
              </w:tabs>
              <w:bidi w:val="0"/>
              <w:spacing w:before="0" w:after="0"/>
              <w:ind w:left="0" w:right="0" w:hanging="0"/>
              <w:rPr>
                <w:highlight w:val="yellow"/>
                <w:lang w:val="uk-UA"/>
              </w:rPr>
            </w:pPr>
            <w:r>
              <w:rPr>
                <w:rFonts w:cs="Arial" w:ascii="Arial" w:hAnsi="Arial"/>
                <w:spacing w:val="-3"/>
                <w:sz w:val="20"/>
                <w:szCs w:val="20"/>
                <w:lang w:val="uk-UA"/>
              </w:rPr>
              <w:t>машинами на автомобілі, група ґрунту 2</w:t>
            </w:r>
          </w:p>
        </w:tc>
        <w:tc>
          <w:tcPr>
            <w:tcW w:w="1436" w:type="dxa"/>
            <w:gridSpan w:val="3"/>
            <w:tcBorders>
              <w:lef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ям</w:t>
            </w:r>
          </w:p>
        </w:tc>
        <w:tc>
          <w:tcPr>
            <w:tcW w:w="1378" w:type="dxa"/>
            <w:gridSpan w:val="4"/>
            <w:tcBorders>
              <w:left w:val="single" w:sz="4" w:space="0" w:color="000000"/>
              <w:right w:val="single" w:sz="4" w:space="0" w:color="000000"/>
            </w:tcBorders>
          </w:tcPr>
          <w:p>
            <w:pPr>
              <w:pStyle w:val="Normal"/>
              <w:widowControl w:val="false"/>
              <w:tabs>
                <w:tab w:val="clear" w:pos="708"/>
              </w:tabs>
              <w:bidi w:val="0"/>
              <w:spacing w:before="0" w:after="0"/>
              <w:ind w:left="0" w:right="0" w:hanging="0"/>
              <w:jc w:val="center"/>
              <w:rPr>
                <w:highlight w:val="yellow"/>
                <w:lang w:val="uk-UA"/>
              </w:rPr>
            </w:pPr>
            <w:r>
              <w:rPr>
                <w:rFonts w:cs="Arial" w:ascii="Arial" w:hAnsi="Arial"/>
                <w:spacing w:val="-3"/>
                <w:sz w:val="20"/>
                <w:szCs w:val="20"/>
                <w:lang w:val="uk-UA"/>
              </w:rPr>
              <w:t>3</w:t>
            </w:r>
          </w:p>
        </w:tc>
        <w:tc>
          <w:tcPr>
            <w:tcW w:w="1498" w:type="dxa"/>
            <w:gridSpan w:val="3"/>
            <w:tcBorders>
              <w:left w:val="single" w:sz="4" w:space="0" w:color="000000"/>
              <w:right w:val="single" w:sz="12" w:space="0" w:color="000000"/>
            </w:tcBorders>
          </w:tcPr>
          <w:p>
            <w:pPr>
              <w:pStyle w:val="Normal"/>
              <w:widowControl w:val="false"/>
              <w:tabs>
                <w:tab w:val="clear" w:pos="708"/>
              </w:tabs>
              <w:bidi w:val="0"/>
              <w:spacing w:before="0" w:after="0"/>
              <w:ind w:left="0" w:right="0" w:hanging="0"/>
              <w:jc w:val="center"/>
              <w:rPr>
                <w:highlight w:val="yellow"/>
                <w:lang w:val="uk-UA"/>
              </w:rPr>
            </w:pPr>
            <w:r>
              <w:rPr/>
            </w:r>
          </w:p>
        </w:tc>
        <w:tc>
          <w:tcPr>
            <w:tcW w:w="77" w:type="dxa"/>
            <w:gridSpan w:val="2"/>
            <w:tcBorders>
              <w:left w:val="single" w:sz="12" w:space="0" w:color="000000"/>
              <w:bottom w:val="single" w:sz="12" w:space="0" w:color="000000"/>
              <w:right w:val="single" w:sz="4" w:space="0" w:color="000000"/>
            </w:tcBorders>
          </w:tcPr>
          <w:p>
            <w:pPr>
              <w:pStyle w:val="Normal"/>
              <w:widowControl w:val="false"/>
              <w:tabs>
                <w:tab w:val="clear" w:pos="708"/>
              </w:tabs>
              <w:bidi w:val="0"/>
              <w:spacing w:lineRule="auto" w:line="276" w:before="0" w:after="0"/>
              <w:ind w:left="0" w:right="0" w:hanging="0"/>
              <w:rPr>
                <w:highlight w:val="yellow"/>
                <w:lang w:val="uk-UA"/>
              </w:rPr>
            </w:pPr>
            <w:r>
              <w:rPr>
                <w:highlight w:val="yellow"/>
                <w:lang w:val="uk-UA"/>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81</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Розробка ґрунту вручну в траншеях глибиною до 2 м без</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кріплень з укосами, група ґрунту 2</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1,13</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82</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Засипання вручну траншей, пазух котлованів та ям,</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група ґрунту 2</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м3</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1,13</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83</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(Демонтаж) Монтаж блискавкоприймача</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84</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Монтаж блискавкоприймача</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85</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Труби сталеві безшовні гарячедеформовані із сталі</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марки 15, 20, 25, зовнішній діаметр 25 мм, товщина</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стінки 2,5 мм</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86</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Труби сталеві електрозварні прямошовні із сталі марки</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20, зовнішній діаметр 20 мм, товщина стінки 2 мм</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87</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Труби сталеві зварні водогазопровідні з різьбою, чорні</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легкі неоцинковані, діаметр умовного проходу 15 мм,</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товщина стінки 2,5 мм</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88</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Провiдник заземлюючий вiдкрито по будiвельних</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основах з круглої сталi дiаметром 10 мм (видалення</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ресурсу С111-1809)</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190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89</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Сталь кругла діаметром 10мм</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0,16872</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90</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Утримувач коньковий покрівельний AN-11C"</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187,5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91</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універсальний (прут-прут)</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78</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92</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хрестовий (прут-прут)</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69,5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93</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хрестовий (полоса-полоса)</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19</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94</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Утримувач вертикальний з дюбелем (прут-полоса)</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107,5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95</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Утримувач горізонтальний ( анкер кріплення )</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81,5</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96</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З'єднувач контрольний</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шт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7</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97</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Заземлювач горизонтальний у траншеї зі сталі штабової,</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переріз 160 мм2</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м</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120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98</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асфальтобетонних покриттів вручну</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2</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99</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Розбирання чорних щебеневих покриттів та основ</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100</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підстильних та вирівнювальних шарів</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основи із щебеню шлакового</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м3</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6</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101</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Улаштування покриття товщиною 4 см з гарячих</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асфальтобетонних сумішей вручну з ущільненням</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самохідними котками</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102</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 кожні 0,5 см зміни товщини шару додавати або</w:t>
            </w:r>
          </w:p>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виключати до норми 18-42-5</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м2</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40</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103</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Навантаження сміття вручну</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 xml:space="preserve"> </w:t>
            </w:r>
            <w:r>
              <w:rPr>
                <w:rFonts w:cs="Arial" w:ascii="Arial" w:hAnsi="Arial"/>
                <w:spacing w:val="-3"/>
                <w:sz w:val="20"/>
                <w:szCs w:val="20"/>
                <w:lang w:val="uk-UA"/>
              </w:rPr>
              <w:t>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49</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r>
        <w:trPr/>
        <w:tc>
          <w:tcPr>
            <w:tcW w:w="674" w:type="dxa"/>
            <w:gridSpan w:val="4"/>
            <w:tcBorders>
              <w:left w:val="single" w:sz="12"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104</w:t>
            </w:r>
          </w:p>
        </w:tc>
        <w:tc>
          <w:tcPr>
            <w:tcW w:w="5341" w:type="dxa"/>
            <w:gridSpan w:val="2"/>
            <w:tcBorders/>
          </w:tcPr>
          <w:p>
            <w:pPr>
              <w:pStyle w:val="Normal"/>
              <w:keepLines/>
              <w:widowControl w:val="false"/>
              <w:bidi w:val="0"/>
              <w:spacing w:before="0" w:after="0"/>
              <w:ind w:left="0" w:right="0" w:hanging="0"/>
              <w:rPr>
                <w:highlight w:val="yellow"/>
                <w:lang w:val="uk-UA"/>
              </w:rPr>
            </w:pPr>
            <w:r>
              <w:rPr>
                <w:rFonts w:cs="Arial" w:ascii="Arial" w:hAnsi="Arial"/>
                <w:spacing w:val="-3"/>
                <w:sz w:val="20"/>
                <w:szCs w:val="20"/>
                <w:lang w:val="uk-UA"/>
              </w:rPr>
              <w:t>Перевезення сміття до 10 км</w:t>
            </w:r>
          </w:p>
        </w:tc>
        <w:tc>
          <w:tcPr>
            <w:tcW w:w="1470" w:type="dxa"/>
            <w:gridSpan w:val="5"/>
            <w:tcBorders>
              <w:lef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т</w:t>
            </w:r>
          </w:p>
        </w:tc>
        <w:tc>
          <w:tcPr>
            <w:tcW w:w="1364" w:type="dxa"/>
            <w:gridSpan w:val="3"/>
            <w:tcBorders>
              <w:left w:val="single" w:sz="4" w:space="0" w:color="000000"/>
              <w:right w:val="single" w:sz="4" w:space="0" w:color="000000"/>
            </w:tcBorders>
          </w:tcPr>
          <w:p>
            <w:pPr>
              <w:pStyle w:val="Normal"/>
              <w:keepLines/>
              <w:widowControl w:val="false"/>
              <w:bidi w:val="0"/>
              <w:spacing w:before="0" w:after="0"/>
              <w:ind w:left="0" w:right="0" w:hanging="0"/>
              <w:jc w:val="center"/>
              <w:rPr>
                <w:highlight w:val="yellow"/>
                <w:lang w:val="uk-UA"/>
              </w:rPr>
            </w:pPr>
            <w:r>
              <w:rPr>
                <w:rFonts w:cs="Arial" w:ascii="Arial" w:hAnsi="Arial"/>
                <w:spacing w:val="-3"/>
                <w:sz w:val="20"/>
                <w:szCs w:val="20"/>
                <w:lang w:val="uk-UA"/>
              </w:rPr>
              <w:t>49</w:t>
            </w:r>
          </w:p>
        </w:tc>
        <w:tc>
          <w:tcPr>
            <w:tcW w:w="1575" w:type="dxa"/>
            <w:gridSpan w:val="5"/>
            <w:tcBorders>
              <w:left w:val="single" w:sz="4" w:space="0" w:color="000000"/>
              <w:right w:val="single" w:sz="12" w:space="0" w:color="000000"/>
            </w:tcBorders>
          </w:tcPr>
          <w:p>
            <w:pPr>
              <w:pStyle w:val="Normal"/>
              <w:keepLines/>
              <w:widowControl w:val="false"/>
              <w:bidi w:val="0"/>
              <w:spacing w:before="0" w:after="0"/>
              <w:ind w:left="0" w:right="0" w:hanging="0"/>
              <w:jc w:val="center"/>
              <w:rPr>
                <w:highlight w:val="yellow"/>
                <w:lang w:val="uk-UA"/>
              </w:rPr>
            </w:pPr>
            <w:r>
              <w:rPr/>
            </w:r>
          </w:p>
        </w:tc>
      </w:tr>
    </w:tbl>
    <w:p>
      <w:pPr>
        <w:pStyle w:val="Normal"/>
        <w:bidi w:val="0"/>
        <w:spacing w:before="0" w:after="0"/>
        <w:ind w:left="0" w:right="0" w:hanging="0"/>
        <w:rPr>
          <w:highlight w:val="yellow"/>
          <w:lang w:val="uk-UA"/>
        </w:rPr>
      </w:pPr>
      <w:r>
        <w:rPr>
          <w:highlight w:val="yellow"/>
          <w:lang w:val="uk-UA"/>
        </w:rPr>
      </w:r>
    </w:p>
    <w:p>
      <w:pPr>
        <w:pStyle w:val="Normal"/>
        <w:shd w:val="clear" w:color="auto" w:fill="FFFFFF"/>
        <w:suppressAutoHyphens w:val="true"/>
        <w:spacing w:before="0" w:after="120"/>
        <w:jc w:val="both"/>
        <w:rPr>
          <w:lang w:val="uk-UA"/>
        </w:rPr>
      </w:pPr>
      <w:r>
        <w:rPr>
          <w:lang w:val="uk-UA"/>
        </w:rPr>
      </w:r>
    </w:p>
    <w:p>
      <w:pPr>
        <w:pStyle w:val="Normal"/>
        <w:shd w:val="clear" w:color="auto" w:fill="FFFFFF"/>
        <w:suppressAutoHyphens w:val="true"/>
        <w:spacing w:before="0" w:after="120"/>
        <w:jc w:val="both"/>
        <w:rPr>
          <w:lang w:val="uk-UA"/>
        </w:rPr>
      </w:pPr>
      <w:r>
        <w:rPr>
          <w:lang w:val="uk-UA"/>
        </w:rPr>
      </w:r>
    </w:p>
    <w:p>
      <w:pPr>
        <w:pStyle w:val="Normal"/>
        <w:shd w:val="clear" w:color="auto" w:fill="FFFFFF"/>
        <w:suppressAutoHyphens w:val="true"/>
        <w:spacing w:before="0" w:after="120"/>
        <w:jc w:val="both"/>
        <w:rPr>
          <w:lang w:val="uk-UA"/>
        </w:rPr>
      </w:pPr>
      <w:r>
        <w:rPr>
          <w:lang w:val="uk-UA"/>
        </w:rPr>
      </w:r>
    </w:p>
    <w:p>
      <w:pPr>
        <w:pStyle w:val="Normal"/>
        <w:shd w:val="clear" w:color="auto" w:fill="FFFFFF"/>
        <w:suppressAutoHyphens w:val="true"/>
        <w:spacing w:before="0" w:after="120"/>
        <w:jc w:val="both"/>
        <w:rPr>
          <w:lang w:val="uk-UA"/>
        </w:rPr>
      </w:pPr>
      <w:r>
        <w:rPr>
          <w:lang w:val="uk-UA"/>
        </w:rPr>
      </w:r>
    </w:p>
    <w:p>
      <w:pPr>
        <w:pStyle w:val="Normal"/>
        <w:shd w:val="clear" w:color="auto" w:fill="FFFFFF"/>
        <w:suppressAutoHyphens w:val="true"/>
        <w:spacing w:before="0" w:after="120"/>
        <w:jc w:val="both"/>
        <w:rPr>
          <w:lang w:val="uk-UA"/>
        </w:rPr>
      </w:pPr>
      <w:r>
        <w:rPr>
          <w:lang w:val="uk-UA"/>
        </w:rPr>
      </w:r>
    </w:p>
    <w:p>
      <w:pPr>
        <w:pStyle w:val="Normal"/>
        <w:shd w:val="clear" w:color="auto" w:fill="FFFFFF"/>
        <w:suppressAutoHyphens w:val="true"/>
        <w:spacing w:before="0" w:after="120"/>
        <w:jc w:val="both"/>
        <w:rPr>
          <w:lang w:val="uk-UA"/>
        </w:rPr>
      </w:pPr>
      <w:r>
        <w:rPr>
          <w:lang w:val="uk-UA"/>
        </w:rPr>
      </w:r>
    </w:p>
    <w:p>
      <w:pPr>
        <w:pStyle w:val="Normal"/>
        <w:shd w:val="clear" w:color="auto" w:fill="FFFFFF"/>
        <w:spacing w:before="240" w:after="0"/>
        <w:rPr>
          <w:rFonts w:eastAsia="Times New Roman"/>
          <w:b/>
          <w:b/>
          <w:bCs/>
          <w:color w:val="000000"/>
          <w:lang w:val="uk-UA"/>
        </w:rPr>
      </w:pPr>
      <w:r>
        <w:rPr>
          <w:rFonts w:eastAsia="Times New Roman"/>
          <w:b/>
          <w:bCs/>
          <w:color w:val="000000"/>
          <w:lang w:val="uk-UA"/>
        </w:rPr>
      </w:r>
    </w:p>
    <w:p>
      <w:pPr>
        <w:pStyle w:val="Normal"/>
        <w:shd w:val="clear" w:color="auto" w:fill="FFFFFF"/>
        <w:spacing w:before="0" w:after="0"/>
        <w:rPr/>
      </w:pPr>
      <w:r>
        <w:rPr>
          <w:rFonts w:eastAsia="Times New Roman"/>
          <w:b/>
          <w:bCs/>
          <w:color w:val="000000"/>
          <w:lang w:val="uk-UA"/>
        </w:rPr>
        <w:t xml:space="preserve">Інша інформація встановлена відповідно до законодавства </w:t>
      </w:r>
    </w:p>
    <w:p>
      <w:pPr>
        <w:pStyle w:val="Normal"/>
        <w:shd w:val="clear" w:color="auto" w:fill="FFFFFF"/>
        <w:spacing w:before="0" w:after="0"/>
        <w:rPr>
          <w:rFonts w:eastAsia="Times New Roman"/>
          <w:b/>
          <w:b/>
          <w:bCs/>
          <w:color w:val="000000"/>
          <w:lang w:val="uk-UA"/>
        </w:rPr>
      </w:pPr>
      <w:r>
        <w:rPr>
          <w:rFonts w:eastAsia="Times New Roman"/>
          <w:b/>
          <w:bCs/>
          <w:color w:val="000000"/>
          <w:lang w:val="uk-UA"/>
        </w:rPr>
        <w:t>(для УЧАСНИКІВ - юридичних осіб, фізичних осіб та фізичних осіб-підприємців).</w:t>
      </w:r>
    </w:p>
    <w:tbl>
      <w:tblPr>
        <w:tblW w:w="10065" w:type="dxa"/>
        <w:jc w:val="left"/>
        <w:tblInd w:w="-42" w:type="dxa"/>
        <w:tblLayout w:type="fixed"/>
        <w:tblCellMar>
          <w:top w:w="0" w:type="dxa"/>
          <w:left w:w="108" w:type="dxa"/>
          <w:bottom w:w="0" w:type="dxa"/>
          <w:right w:w="108" w:type="dxa"/>
        </w:tblCellMar>
        <w:tblLook w:firstRow="0" w:noVBand="1" w:lastRow="0" w:firstColumn="0" w:lastColumn="0" w:noHBand="0" w:val="0400"/>
      </w:tblPr>
      <w:tblGrid>
        <w:gridCol w:w="42"/>
        <w:gridCol w:w="418"/>
        <w:gridCol w:w="9605"/>
      </w:tblGrid>
      <w:tr>
        <w:trPr>
          <w:trHeight w:val="124" w:hRule="atLeast"/>
        </w:trPr>
        <w:tc>
          <w:tcPr>
            <w:tcW w:w="42" w:type="dxa"/>
            <w:tcBorders/>
          </w:tcPr>
          <w:p>
            <w:pPr>
              <w:pStyle w:val="22"/>
              <w:widowControl w:val="false"/>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10023" w:type="dxa"/>
            <w:gridSpan w:val="2"/>
            <w:tcBorders>
              <w:top w:val="single" w:sz="8" w:space="0" w:color="000000"/>
              <w:left w:val="single" w:sz="8" w:space="0" w:color="000000"/>
              <w:bottom w:val="single" w:sz="8" w:space="0" w:color="000000"/>
              <w:right w:val="single" w:sz="8" w:space="0" w:color="000000"/>
            </w:tcBorders>
            <w:shd w:color="auto" w:fill="CCCCCC" w:val="clear"/>
            <w:tcMar>
              <w:top w:w="100" w:type="dxa"/>
              <w:left w:w="100" w:type="dxa"/>
              <w:bottom w:w="100" w:type="dxa"/>
              <w:right w:w="100" w:type="dxa"/>
            </w:tcMar>
          </w:tcPr>
          <w:p>
            <w:pPr>
              <w:pStyle w:val="22"/>
              <w:widowControl w:val="false"/>
              <w:spacing w:lineRule="auto" w:line="240" w:before="0" w:after="0"/>
              <w:ind w:left="100"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731"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tc>
        <w:tc>
          <w:tcPr>
            <w:tcW w:w="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1</w:t>
            </w:r>
          </w:p>
        </w:tc>
        <w:tc>
          <w:tcPr>
            <w:tcW w:w="9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10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Pr>
                <w:rFonts w:eastAsia="Times New Roman" w:cs="Times New Roman" w:ascii="Times New Roman" w:hAnsi="Times New Roman"/>
                <w:b/>
                <w:color w:val="000000"/>
                <w:sz w:val="24"/>
                <w:szCs w:val="24"/>
              </w:rPr>
              <w:t>у вигляді листа-гарантії</w:t>
            </w:r>
            <w:r>
              <w:rPr>
                <w:rFonts w:eastAsia="Times New Roman" w:cs="Times New Roman" w:ascii="Times New Roman" w:hAnsi="Times New Roman"/>
                <w:color w:val="000000"/>
                <w:sz w:val="24"/>
                <w:szCs w:val="24"/>
              </w:rPr>
              <w:t xml:space="preserve"> наступного змісту: </w:t>
            </w:r>
            <w:r>
              <w:rPr>
                <w:rFonts w:eastAsia="Times New Roman" w:cs="Times New Roman" w:ascii="Times New Roman" w:hAnsi="Times New Roman"/>
                <w:b/>
                <w:color w:val="000000"/>
                <w:sz w:val="24"/>
                <w:szCs w:val="24"/>
              </w:rPr>
              <w:t xml:space="preserve">«Ми, </w:t>
            </w:r>
            <w:r>
              <w:rPr>
                <w:rFonts w:eastAsia="Times New Roman" w:cs="Times New Roman" w:ascii="Times New Roman" w:hAnsi="Times New Roman"/>
                <w:b/>
                <w:color w:val="000000"/>
                <w:sz w:val="24"/>
                <w:szCs w:val="24"/>
                <w:u w:val="single"/>
              </w:rPr>
              <w:t>зазначити найменування Учасника</w:t>
            </w:r>
            <w:r>
              <w:rPr>
                <w:rFonts w:eastAsia="Times New Roman" w:cs="Times New Roman" w:ascii="Times New Roman" w:hAnsi="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документації</w:t>
            </w:r>
            <w:r>
              <w:rPr>
                <w:rFonts w:eastAsia="Times New Roman" w:cs="Times New Roman" w:ascii="Times New Roman" w:hAnsi="Times New Roman"/>
                <w:b/>
                <w:sz w:val="24"/>
                <w:szCs w:val="24"/>
              </w:rPr>
              <w:t>, в т.ч. додатках до неї, а також підтверджуємо можливість виконання робіт, у відповідності до вимог, визначених згідно з умовами документації ».</w:t>
            </w:r>
          </w:p>
        </w:tc>
      </w:tr>
      <w:tr>
        <w:trPr>
          <w:trHeight w:val="1900"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2</w:t>
            </w:r>
          </w:p>
        </w:tc>
        <w:tc>
          <w:tcPr>
            <w:tcW w:w="9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Довідка (інформація) про  відсутність застосування санкцій, передбачених статтею 236 ГКУ  наступного змісту:</w:t>
            </w:r>
          </w:p>
          <w:p>
            <w:pPr>
              <w:pStyle w:val="22"/>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w:t>
            </w:r>
          </w:p>
          <w:p>
            <w:pPr>
              <w:pStyle w:val="22"/>
              <w:widowControl w:val="false"/>
              <w:spacing w:lineRule="auto" w:line="240" w:before="0" w:after="0"/>
              <w:ind w:left="10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1154"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w:t>
            </w:r>
          </w:p>
        </w:tc>
        <w:tc>
          <w:tcPr>
            <w:tcW w:w="9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34" w:hanging="21"/>
              <w:jc w:val="both"/>
              <w:rPr>
                <w:rFonts w:ascii="Times New Roman" w:hAnsi="Times New Roman" w:eastAsia="Times New Roman" w:cs="Times New Roman"/>
                <w:color w:val="000000"/>
                <w:sz w:val="24"/>
                <w:szCs w:val="24"/>
              </w:rPr>
            </w:pPr>
            <w:r>
              <w:rPr>
                <w:rFonts w:eastAsia="Times New Roman" w:ascii="Times New Roman" w:hAnsi="Times New Roman"/>
                <w:sz w:val="24"/>
                <w:szCs w:val="24"/>
              </w:rPr>
              <w:t>Копія статуту (остання редакція) або Довідка в довільній формі, підписана уповноваженою особою, в якій буде зазначений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У разі якщо учасник здійснює діяльність на підставі модельного статуту, необхідно надати копію рішення засновників про прийняття модельного статуту. Якщо учасник здійснює діяльність без статуту (або іншого установчого документу, який його замінює), у складі тендерної пропозиції подається довідка в довільний формі з посиланням на норми відповідних законодавчих актів України про підстави здійснення діяльності без вказаних документів.</w:t>
            </w:r>
          </w:p>
        </w:tc>
      </w:tr>
      <w:tr>
        <w:trPr>
          <w:trHeight w:val="763" w:hRule="atLeast"/>
        </w:trPr>
        <w:tc>
          <w:tcPr>
            <w:tcW w:w="42" w:type="dxa"/>
            <w:tcBorders/>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c>
        <w:tc>
          <w:tcPr>
            <w:tcW w:w="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0"/>
              <w:ind w:left="100" w:hanging="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w:t>
            </w:r>
          </w:p>
        </w:tc>
        <w:tc>
          <w:tcPr>
            <w:tcW w:w="9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0" w:after="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Копія свідоцтва про реєстрацію платника ПДВ,  або копія витягу з реєстру платників ПДВ, копія свідоцтва про сплату єдиного податку, або копія витягу  з реєстру платників єдиного податку</w:t>
            </w:r>
          </w:p>
        </w:tc>
      </w:tr>
      <w:tr>
        <w:trPr>
          <w:trHeight w:val="763" w:hRule="atLeast"/>
        </w:trPr>
        <w:tc>
          <w:tcPr>
            <w:tcW w:w="4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before="240" w:after="160"/>
              <w:ind w:left="100" w:hanging="0"/>
              <w:rPr>
                <w:rFonts w:ascii="Times New Roman" w:hAnsi="Times New Roman" w:eastAsia="Times New Roman" w:cs="Times New Roman"/>
                <w:b/>
                <w:b/>
                <w:color w:val="000000"/>
                <w:sz w:val="24"/>
                <w:szCs w:val="24"/>
                <w:lang w:val="ru-RU"/>
              </w:rPr>
            </w:pPr>
            <w:r>
              <w:rPr>
                <w:rFonts w:eastAsia="Times New Roman" w:cs="Times New Roman" w:ascii="Times New Roman" w:hAnsi="Times New Roman"/>
                <w:b/>
                <w:color w:val="000000"/>
                <w:sz w:val="24"/>
                <w:szCs w:val="24"/>
                <w:lang w:val="ru-RU"/>
              </w:rPr>
              <w:t>5</w:t>
            </w:r>
          </w:p>
        </w:tc>
        <w:tc>
          <w:tcPr>
            <w:tcW w:w="9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pStyle w:val="22"/>
              <w:widowControl w:val="false"/>
              <w:spacing w:lineRule="auto" w:line="24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pPr>
              <w:pStyle w:val="22"/>
              <w:widowControl w:val="false"/>
              <w:spacing w:lineRule="auto" w:line="240" w:before="0" w:after="160"/>
              <w:ind w:left="34" w:hanging="21"/>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pPr>
        <w:pStyle w:val="Normal"/>
        <w:shd w:val="clear" w:color="auto" w:fill="FFFFFF"/>
        <w:suppressAutoHyphens w:val="true"/>
        <w:spacing w:before="0" w:after="120"/>
        <w:jc w:val="both"/>
        <w:rPr/>
      </w:pPr>
      <w:r>
        <w:rPr/>
      </w:r>
    </w:p>
    <w:p>
      <w:pPr>
        <w:pStyle w:val="Normal"/>
        <w:shd w:val="clear" w:color="auto" w:fill="FFFFFF"/>
        <w:suppressAutoHyphens w:val="true"/>
        <w:spacing w:before="0" w:after="120"/>
        <w:jc w:val="both"/>
        <w:rPr/>
      </w:pPr>
      <w:r>
        <w:rPr/>
      </w:r>
    </w:p>
    <w:p>
      <w:pPr>
        <w:pStyle w:val="Normal"/>
        <w:shd w:val="clear" w:color="auto" w:fill="FFFFFF"/>
        <w:suppressAutoHyphens w:val="true"/>
        <w:spacing w:before="0" w:after="120"/>
        <w:jc w:val="both"/>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4"/>
      <w:numFmt w:val="decimal"/>
      <w:lvlText w:val="%1.%2.%3.%4"/>
      <w:lvlJc w:val="left"/>
      <w:pPr>
        <w:tabs>
          <w:tab w:val="num" w:pos="864"/>
        </w:tabs>
        <w:ind w:left="864" w:hanging="864"/>
      </w:pPr>
    </w:lvl>
    <w:lvl w:ilvl="4">
      <w:start w:val="1"/>
      <w:pStyle w:val="5"/>
      <w:numFmt w:val="decimal"/>
      <w:lvlText w:val="%1.%2.%3.%4.%5"/>
      <w:lvlJc w:val="left"/>
      <w:pPr>
        <w:tabs>
          <w:tab w:val="num" w:pos="1008"/>
        </w:tabs>
        <w:ind w:left="1008" w:hanging="1008"/>
      </w:pPr>
    </w:lvl>
    <w:lvl w:ilvl="5">
      <w:start w:val="1"/>
      <w:pStyle w:val="6"/>
      <w:numFmt w:val="decimal"/>
      <w:lvlText w:val="%1.%2.%3.%4.%5.%6"/>
      <w:lvlJc w:val="left"/>
      <w:pPr>
        <w:tabs>
          <w:tab w:val="num" w:pos="1152"/>
        </w:tabs>
        <w:ind w:left="1152" w:hanging="1152"/>
      </w:pPr>
    </w:lvl>
    <w:lvl w:ilvl="6">
      <w:start w:val="1"/>
      <w:pStyle w:val="7"/>
      <w:numFmt w:val="decimal"/>
      <w:lvlText w:val="%1.%2.%3.%4.%5.%6.%7"/>
      <w:lvlJc w:val="left"/>
      <w:pPr>
        <w:tabs>
          <w:tab w:val="num" w:pos="1296"/>
        </w:tabs>
        <w:ind w:left="1296" w:hanging="1296"/>
      </w:pPr>
    </w:lvl>
    <w:lvl w:ilvl="7">
      <w:start w:val="1"/>
      <w:pStyle w:val="8"/>
      <w:numFmt w:val="decimal"/>
      <w:lvlText w:val="%1.%2.%3.%4.%5.%6.%7.%8"/>
      <w:lvlJc w:val="left"/>
      <w:pPr>
        <w:tabs>
          <w:tab w:val="num" w:pos="1440"/>
        </w:tabs>
        <w:ind w:left="1440" w:hanging="1440"/>
      </w:pPr>
    </w:lvl>
    <w:lvl w:ilvl="8">
      <w:start w:val="1"/>
      <w:pStyle w:val="9"/>
      <w:numFmt w:val="decimal"/>
      <w:lvlText w:val="%1.%2.%3.%4.%5.%6.%7.%8.%9"/>
      <w:lvlJc w:val="left"/>
      <w:pPr>
        <w:tabs>
          <w:tab w:val="num" w:pos="1584"/>
        </w:tabs>
        <w:ind w:left="1584" w:hanging="1584"/>
      </w:pPr>
    </w:lvl>
  </w:abstractNum>
  <w:abstractNum w:abstractNumId="2">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0" w:semiHidden="0" w:unhideWhenUsed="0" w:qFormat="1"/>
    <w:lsdException w:name="Default Paragraph Font" w:uiPriority="1"/>
    <w:lsdException w:name="Subtitle" w:uiPriority="0" w:semiHidden="0" w:unhideWhenUsed="0" w:qFormat="1"/>
    <w:lsdException w:name="Strong" w:uiPriority="0" w:semiHidden="0" w:unhideWhenUsed="0" w:qFormat="1"/>
    <w:lsdException w:name="Emphasis" w:uiPriority="0" w:semiHidden="0" w:unhideWhenUsed="0" w:qFormat="1"/>
    <w:lsdException w:name="Normal (Web)"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3433"/>
    <w:pPr>
      <w:widowControl/>
      <w:suppressAutoHyphens w:val="true"/>
      <w:bidi w:val="0"/>
      <w:spacing w:before="0" w:after="0"/>
      <w:jc w:val="left"/>
    </w:pPr>
    <w:rPr>
      <w:rFonts w:ascii="Times New Roman" w:hAnsi="Times New Roman" w:eastAsia="Arial" w:cs="Times New Roman"/>
      <w:color w:val="auto"/>
      <w:kern w:val="0"/>
      <w:sz w:val="24"/>
      <w:szCs w:val="24"/>
      <w:lang w:val="ru-RU" w:eastAsia="ru-RU" w:bidi="ar-SA"/>
    </w:rPr>
  </w:style>
  <w:style w:type="paragraph" w:styleId="1">
    <w:name w:val="Heading 1"/>
    <w:basedOn w:val="Normal"/>
    <w:next w:val="Normal"/>
    <w:link w:val="10"/>
    <w:qFormat/>
    <w:rsid w:val="007c60a2"/>
    <w:pPr>
      <w:keepNext w:val="true"/>
      <w:tabs>
        <w:tab w:val="clear" w:pos="708"/>
        <w:tab w:val="left" w:pos="8306" w:leader="none"/>
      </w:tabs>
      <w:ind w:left="150" w:hanging="0"/>
      <w:outlineLvl w:val="0"/>
    </w:pPr>
    <w:rPr>
      <w:rFonts w:eastAsia="Times New Roman"/>
      <w:b/>
      <w:sz w:val="20"/>
      <w:szCs w:val="20"/>
    </w:rPr>
  </w:style>
  <w:style w:type="paragraph" w:styleId="2">
    <w:name w:val="Heading 2"/>
    <w:basedOn w:val="Normal"/>
    <w:next w:val="Normal"/>
    <w:link w:val="20"/>
    <w:qFormat/>
    <w:rsid w:val="007c60a2"/>
    <w:pPr>
      <w:keepNext w:val="true"/>
      <w:tabs>
        <w:tab w:val="clear" w:pos="708"/>
        <w:tab w:val="left" w:pos="8306" w:leader="none"/>
      </w:tabs>
      <w:ind w:left="6804" w:hanging="0"/>
      <w:outlineLvl w:val="1"/>
    </w:pPr>
    <w:rPr>
      <w:rFonts w:eastAsia="Times New Roman"/>
      <w:i/>
      <w:sz w:val="20"/>
      <w:szCs w:val="20"/>
    </w:rPr>
  </w:style>
  <w:style w:type="paragraph" w:styleId="3">
    <w:name w:val="Heading 3"/>
    <w:basedOn w:val="Normal"/>
    <w:next w:val="Normal"/>
    <w:link w:val="30"/>
    <w:qFormat/>
    <w:rsid w:val="007c60a2"/>
    <w:pPr>
      <w:keepNext w:val="true"/>
      <w:tabs>
        <w:tab w:val="clear" w:pos="708"/>
        <w:tab w:val="left" w:pos="8306" w:leader="none"/>
      </w:tabs>
      <w:jc w:val="center"/>
      <w:outlineLvl w:val="2"/>
    </w:pPr>
    <w:rPr>
      <w:rFonts w:eastAsia="Times New Roman"/>
      <w:b/>
      <w:sz w:val="20"/>
      <w:szCs w:val="20"/>
    </w:rPr>
  </w:style>
  <w:style w:type="paragraph" w:styleId="4">
    <w:name w:val="Heading 4"/>
    <w:basedOn w:val="Normal"/>
    <w:next w:val="Normal"/>
    <w:link w:val="40"/>
    <w:qFormat/>
    <w:rsid w:val="007c60a2"/>
    <w:pPr>
      <w:keepNext w:val="true"/>
      <w:numPr>
        <w:ilvl w:val="3"/>
        <w:numId w:val="1"/>
      </w:numPr>
      <w:spacing w:before="240" w:after="60"/>
      <w:outlineLvl w:val="3"/>
    </w:pPr>
    <w:rPr>
      <w:rFonts w:ascii="Arial" w:hAnsi="Arial" w:eastAsia="Times New Roman"/>
      <w:b/>
      <w:szCs w:val="20"/>
    </w:rPr>
  </w:style>
  <w:style w:type="paragraph" w:styleId="5">
    <w:name w:val="Heading 5"/>
    <w:basedOn w:val="Normal"/>
    <w:next w:val="Normal"/>
    <w:link w:val="50"/>
    <w:qFormat/>
    <w:rsid w:val="007c60a2"/>
    <w:pPr>
      <w:numPr>
        <w:ilvl w:val="4"/>
        <w:numId w:val="1"/>
      </w:numPr>
      <w:spacing w:before="240" w:after="60"/>
      <w:outlineLvl w:val="4"/>
    </w:pPr>
    <w:rPr>
      <w:rFonts w:eastAsia="Times New Roman"/>
      <w:sz w:val="22"/>
      <w:szCs w:val="20"/>
    </w:rPr>
  </w:style>
  <w:style w:type="paragraph" w:styleId="6">
    <w:name w:val="Heading 6"/>
    <w:basedOn w:val="Normal"/>
    <w:next w:val="Normal"/>
    <w:link w:val="60"/>
    <w:qFormat/>
    <w:rsid w:val="007c60a2"/>
    <w:pPr>
      <w:numPr>
        <w:ilvl w:val="5"/>
        <w:numId w:val="1"/>
      </w:numPr>
      <w:spacing w:before="240" w:after="60"/>
      <w:outlineLvl w:val="5"/>
    </w:pPr>
    <w:rPr>
      <w:rFonts w:eastAsia="Times New Roman"/>
      <w:i/>
      <w:sz w:val="22"/>
      <w:szCs w:val="20"/>
    </w:rPr>
  </w:style>
  <w:style w:type="paragraph" w:styleId="7">
    <w:name w:val="Heading 7"/>
    <w:basedOn w:val="Normal"/>
    <w:next w:val="Normal"/>
    <w:link w:val="70"/>
    <w:qFormat/>
    <w:rsid w:val="007c60a2"/>
    <w:pPr>
      <w:numPr>
        <w:ilvl w:val="6"/>
        <w:numId w:val="1"/>
      </w:numPr>
      <w:spacing w:before="240" w:after="60"/>
      <w:outlineLvl w:val="6"/>
    </w:pPr>
    <w:rPr>
      <w:rFonts w:ascii="Arial" w:hAnsi="Arial" w:eastAsia="Times New Roman"/>
      <w:sz w:val="20"/>
      <w:szCs w:val="20"/>
    </w:rPr>
  </w:style>
  <w:style w:type="paragraph" w:styleId="8">
    <w:name w:val="Heading 8"/>
    <w:basedOn w:val="Normal"/>
    <w:next w:val="Normal"/>
    <w:link w:val="80"/>
    <w:qFormat/>
    <w:rsid w:val="007c60a2"/>
    <w:pPr>
      <w:numPr>
        <w:ilvl w:val="7"/>
        <w:numId w:val="1"/>
      </w:numPr>
      <w:spacing w:before="240" w:after="60"/>
      <w:outlineLvl w:val="7"/>
    </w:pPr>
    <w:rPr>
      <w:rFonts w:ascii="Arial" w:hAnsi="Arial" w:eastAsia="Times New Roman"/>
      <w:i/>
      <w:sz w:val="20"/>
      <w:szCs w:val="20"/>
    </w:rPr>
  </w:style>
  <w:style w:type="paragraph" w:styleId="9">
    <w:name w:val="Heading 9"/>
    <w:basedOn w:val="Normal"/>
    <w:next w:val="Normal"/>
    <w:link w:val="90"/>
    <w:qFormat/>
    <w:rsid w:val="007c60a2"/>
    <w:pPr>
      <w:numPr>
        <w:ilvl w:val="8"/>
        <w:numId w:val="1"/>
      </w:numPr>
      <w:spacing w:before="240" w:after="60"/>
      <w:outlineLvl w:val="8"/>
    </w:pPr>
    <w:rPr>
      <w:rFonts w:ascii="Arial" w:hAnsi="Arial" w:eastAsia="Times New Roman"/>
      <w:b/>
      <w:i/>
      <w:sz w:val="18"/>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7c60a2"/>
    <w:rPr>
      <w:b/>
      <w:lang w:val="ru-RU" w:eastAsia="ru-RU"/>
    </w:rPr>
  </w:style>
  <w:style w:type="character" w:styleId="21" w:customStyle="1">
    <w:name w:val="Заголовок 2 Знак"/>
    <w:basedOn w:val="DefaultParagraphFont"/>
    <w:link w:val="2"/>
    <w:qFormat/>
    <w:rsid w:val="007c60a2"/>
    <w:rPr>
      <w:i/>
      <w:lang w:val="ru-RU" w:eastAsia="ru-RU"/>
    </w:rPr>
  </w:style>
  <w:style w:type="character" w:styleId="31" w:customStyle="1">
    <w:name w:val="Заголовок 3 Знак"/>
    <w:basedOn w:val="DefaultParagraphFont"/>
    <w:link w:val="3"/>
    <w:qFormat/>
    <w:rsid w:val="007c60a2"/>
    <w:rPr>
      <w:b/>
      <w:lang w:val="ru-RU" w:eastAsia="ru-RU"/>
    </w:rPr>
  </w:style>
  <w:style w:type="character" w:styleId="41" w:customStyle="1">
    <w:name w:val="Заголовок 4 Знак"/>
    <w:basedOn w:val="DefaultParagraphFont"/>
    <w:link w:val="4"/>
    <w:qFormat/>
    <w:rsid w:val="007c60a2"/>
    <w:rPr>
      <w:rFonts w:ascii="Arial" w:hAnsi="Arial"/>
      <w:b/>
      <w:sz w:val="24"/>
      <w:lang w:val="ru-RU" w:eastAsia="ru-RU"/>
    </w:rPr>
  </w:style>
  <w:style w:type="character" w:styleId="51" w:customStyle="1">
    <w:name w:val="Заголовок 5 Знак"/>
    <w:basedOn w:val="DefaultParagraphFont"/>
    <w:link w:val="5"/>
    <w:qFormat/>
    <w:rsid w:val="007c60a2"/>
    <w:rPr>
      <w:sz w:val="22"/>
      <w:lang w:val="ru-RU" w:eastAsia="ru-RU"/>
    </w:rPr>
  </w:style>
  <w:style w:type="character" w:styleId="61" w:customStyle="1">
    <w:name w:val="Заголовок 6 Знак"/>
    <w:basedOn w:val="DefaultParagraphFont"/>
    <w:link w:val="6"/>
    <w:qFormat/>
    <w:rsid w:val="007c60a2"/>
    <w:rPr>
      <w:i/>
      <w:sz w:val="22"/>
      <w:lang w:val="ru-RU" w:eastAsia="ru-RU"/>
    </w:rPr>
  </w:style>
  <w:style w:type="character" w:styleId="71" w:customStyle="1">
    <w:name w:val="Заголовок 7 Знак"/>
    <w:basedOn w:val="DefaultParagraphFont"/>
    <w:link w:val="7"/>
    <w:qFormat/>
    <w:rsid w:val="007c60a2"/>
    <w:rPr>
      <w:rFonts w:ascii="Arial" w:hAnsi="Arial"/>
      <w:lang w:val="ru-RU" w:eastAsia="ru-RU"/>
    </w:rPr>
  </w:style>
  <w:style w:type="character" w:styleId="81" w:customStyle="1">
    <w:name w:val="Заголовок 8 Знак"/>
    <w:basedOn w:val="DefaultParagraphFont"/>
    <w:link w:val="8"/>
    <w:qFormat/>
    <w:rsid w:val="007c60a2"/>
    <w:rPr>
      <w:rFonts w:ascii="Arial" w:hAnsi="Arial"/>
      <w:i/>
      <w:lang w:val="ru-RU" w:eastAsia="ru-RU"/>
    </w:rPr>
  </w:style>
  <w:style w:type="character" w:styleId="91" w:customStyle="1">
    <w:name w:val="Заголовок 9 Знак"/>
    <w:basedOn w:val="DefaultParagraphFont"/>
    <w:link w:val="9"/>
    <w:qFormat/>
    <w:rsid w:val="007c60a2"/>
    <w:rPr>
      <w:rFonts w:ascii="Arial" w:hAnsi="Arial"/>
      <w:b/>
      <w:i/>
      <w:sz w:val="18"/>
      <w:lang w:val="ru-RU" w:eastAsia="ru-RU"/>
    </w:rPr>
  </w:style>
  <w:style w:type="character" w:styleId="Style5" w:customStyle="1">
    <w:name w:val="Обычный (веб) Знак"/>
    <w:link w:val="a3"/>
    <w:uiPriority w:val="99"/>
    <w:qFormat/>
    <w:locked/>
    <w:rsid w:val="000d47af"/>
    <w:rPr>
      <w:sz w:val="24"/>
      <w:szCs w:val="24"/>
      <w:lang w:eastAsia="ru-RU"/>
    </w:rPr>
  </w:style>
  <w:style w:type="character" w:styleId="Style6" w:customStyle="1">
    <w:name w:val="Без интервала Знак"/>
    <w:link w:val="a5"/>
    <w:uiPriority w:val="1"/>
    <w:qFormat/>
    <w:rsid w:val="00f17a82"/>
    <w:rPr>
      <w:rFonts w:ascii="Times New Roman CYR" w:hAnsi="Times New Roman CYR" w:cs="Times New Roman CYR"/>
      <w:sz w:val="24"/>
      <w:szCs w:val="24"/>
      <w:lang w:val="ru-RU" w:eastAsia="ru-RU"/>
    </w:rPr>
  </w:style>
  <w:style w:type="character" w:styleId="Style7" w:customStyle="1">
    <w:name w:val="Абзац списка Знак"/>
    <w:link w:val="a7"/>
    <w:uiPriority w:val="34"/>
    <w:qFormat/>
    <w:locked/>
    <w:rsid w:val="00e75a5b"/>
    <w:rPr>
      <w:rFonts w:ascii="Calibri" w:hAnsi="Calibri"/>
      <w:sz w:val="22"/>
      <w:szCs w:val="22"/>
      <w:lang w:val="ru-RU" w:eastAsia="ru-RU"/>
    </w:rPr>
  </w:style>
  <w:style w:type="character" w:styleId="Style8" w:customStyle="1">
    <w:name w:val="Верхний колонтитул Знак"/>
    <w:basedOn w:val="DefaultParagraphFont"/>
    <w:link w:val="a9"/>
    <w:uiPriority w:val="99"/>
    <w:qFormat/>
    <w:rsid w:val="00031422"/>
    <w:rPr>
      <w:rFonts w:eastAsia="Arial"/>
      <w:sz w:val="24"/>
      <w:szCs w:val="24"/>
      <w:lang w:val="ru-RU" w:eastAsia="ru-RU"/>
    </w:rPr>
  </w:style>
  <w:style w:type="character" w:styleId="Style9" w:customStyle="1">
    <w:name w:val="Нижний колонтитул Знак"/>
    <w:basedOn w:val="DefaultParagraphFont"/>
    <w:link w:val="ab"/>
    <w:uiPriority w:val="99"/>
    <w:qFormat/>
    <w:rsid w:val="00031422"/>
    <w:rPr>
      <w:rFonts w:eastAsia="Arial"/>
      <w:sz w:val="24"/>
      <w:szCs w:val="24"/>
      <w:lang w:val="ru-RU" w:eastAsia="ru-RU"/>
    </w:rPr>
  </w:style>
  <w:style w:type="character" w:styleId="12">
    <w:name w:val="Основной текст1"/>
    <w:qFormat/>
    <w:rPr>
      <w:rFonts w:ascii="Times New Roman" w:hAnsi="Times New Roman" w:eastAsia="Times New Roman"/>
      <w:color w:val="000000"/>
      <w:spacing w:val="0"/>
      <w:w w:val="100"/>
      <w:sz w:val="22"/>
      <w:szCs w:val="22"/>
      <w:shd w:fill="FFFFFF" w:val="clear"/>
      <w:lang w:val="uk-UA"/>
    </w:rPr>
  </w:style>
  <w:style w:type="paragraph" w:styleId="Style10">
    <w:name w:val="Заголовок"/>
    <w:basedOn w:val="Normal"/>
    <w:next w:val="Style11"/>
    <w:qFormat/>
    <w:pPr>
      <w:keepNext w:val="true"/>
      <w:spacing w:before="240" w:after="120"/>
    </w:pPr>
    <w:rPr>
      <w:rFonts w:ascii="Liberation Sans" w:hAnsi="Liberation Sans" w:eastAsia="Microsoft YaHei" w:cs="Arial Unicode MS"/>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Unicode MS"/>
    </w:rPr>
  </w:style>
  <w:style w:type="paragraph" w:styleId="Style13">
    <w:name w:val="Caption"/>
    <w:basedOn w:val="Normal"/>
    <w:qFormat/>
    <w:pPr>
      <w:suppressLineNumbers/>
      <w:spacing w:before="120" w:after="120"/>
    </w:pPr>
    <w:rPr>
      <w:rFonts w:cs="Arial Unicode MS"/>
      <w:i/>
      <w:iCs/>
      <w:sz w:val="24"/>
      <w:szCs w:val="24"/>
    </w:rPr>
  </w:style>
  <w:style w:type="paragraph" w:styleId="Style14">
    <w:name w:val="Покажчик"/>
    <w:basedOn w:val="Normal"/>
    <w:qFormat/>
    <w:pPr>
      <w:suppressLineNumbers/>
    </w:pPr>
    <w:rPr>
      <w:rFonts w:cs="Arial Unicode MS"/>
    </w:rPr>
  </w:style>
  <w:style w:type="paragraph" w:styleId="TableParagraph" w:customStyle="1">
    <w:name w:val="Table Paragraph"/>
    <w:basedOn w:val="Normal"/>
    <w:uiPriority w:val="1"/>
    <w:qFormat/>
    <w:rsid w:val="000f3433"/>
    <w:pPr>
      <w:widowControl w:val="false"/>
      <w:spacing w:before="88" w:after="0"/>
      <w:ind w:left="100" w:hanging="0"/>
      <w:jc w:val="both"/>
    </w:pPr>
    <w:rPr>
      <w:rFonts w:eastAsia="Times New Roman"/>
      <w:sz w:val="22"/>
      <w:szCs w:val="22"/>
      <w:lang w:val="uk-UA" w:eastAsia="en-US"/>
    </w:rPr>
  </w:style>
  <w:style w:type="paragraph" w:styleId="NormalWeb">
    <w:name w:val="Normal (Web)"/>
    <w:basedOn w:val="Normal"/>
    <w:link w:val="a4"/>
    <w:uiPriority w:val="99"/>
    <w:unhideWhenUsed/>
    <w:qFormat/>
    <w:rsid w:val="000d47af"/>
    <w:pPr>
      <w:spacing w:beforeAutospacing="1" w:afterAutospacing="1"/>
    </w:pPr>
    <w:rPr>
      <w:rFonts w:eastAsia="Times New Roman"/>
      <w:lang w:val="uk-UA"/>
    </w:rPr>
  </w:style>
  <w:style w:type="paragraph" w:styleId="Docdata" w:customStyle="1">
    <w:name w:val="docdata"/>
    <w:basedOn w:val="Normal"/>
    <w:qFormat/>
    <w:rsid w:val="000d47af"/>
    <w:pPr>
      <w:spacing w:beforeAutospacing="1" w:afterAutospacing="1"/>
    </w:pPr>
    <w:rPr>
      <w:rFonts w:eastAsia="Times New Roman"/>
    </w:rPr>
  </w:style>
  <w:style w:type="paragraph" w:styleId="NoSpacing">
    <w:name w:val="No Spacing"/>
    <w:link w:val="a6"/>
    <w:uiPriority w:val="1"/>
    <w:qFormat/>
    <w:rsid w:val="00f17a82"/>
    <w:pPr>
      <w:widowControl w:val="false"/>
      <w:suppressAutoHyphens w:val="true"/>
      <w:bidi w:val="0"/>
      <w:spacing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ListParagraph">
    <w:name w:val="List Paragraph"/>
    <w:basedOn w:val="Normal"/>
    <w:link w:val="a8"/>
    <w:uiPriority w:val="34"/>
    <w:qFormat/>
    <w:rsid w:val="00f17a82"/>
    <w:pPr>
      <w:spacing w:lineRule="auto" w:line="276" w:before="0" w:after="200"/>
      <w:ind w:left="720" w:hanging="0"/>
      <w:contextualSpacing/>
    </w:pPr>
    <w:rPr>
      <w:rFonts w:ascii="Calibri" w:hAnsi="Calibri" w:eastAsia="Times New Roman"/>
      <w:sz w:val="22"/>
      <w:szCs w:val="22"/>
    </w:rPr>
  </w:style>
  <w:style w:type="paragraph" w:styleId="Style15">
    <w:name w:val="Верхній і нижній колонтитули"/>
    <w:basedOn w:val="Normal"/>
    <w:qFormat/>
    <w:pPr/>
    <w:rPr/>
  </w:style>
  <w:style w:type="paragraph" w:styleId="Style16">
    <w:name w:val="Header"/>
    <w:basedOn w:val="Normal"/>
    <w:link w:val="aa"/>
    <w:uiPriority w:val="99"/>
    <w:unhideWhenUsed/>
    <w:rsid w:val="00031422"/>
    <w:pPr>
      <w:tabs>
        <w:tab w:val="clear" w:pos="708"/>
        <w:tab w:val="center" w:pos="4677" w:leader="none"/>
        <w:tab w:val="right" w:pos="9355" w:leader="none"/>
      </w:tabs>
    </w:pPr>
    <w:rPr/>
  </w:style>
  <w:style w:type="paragraph" w:styleId="Style17">
    <w:name w:val="Footer"/>
    <w:basedOn w:val="Normal"/>
    <w:link w:val="ac"/>
    <w:uiPriority w:val="99"/>
    <w:unhideWhenUsed/>
    <w:rsid w:val="00031422"/>
    <w:pPr>
      <w:tabs>
        <w:tab w:val="clear" w:pos="708"/>
        <w:tab w:val="center" w:pos="4677" w:leader="none"/>
        <w:tab w:val="right" w:pos="9355" w:leader="none"/>
      </w:tabs>
    </w:pPr>
    <w:rPr/>
  </w:style>
  <w:style w:type="paragraph" w:styleId="22" w:customStyle="1">
    <w:name w:val="Обычный2"/>
    <w:qFormat/>
    <w:rsid w:val="00316a42"/>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NormalTable">
    <w:name w:val="Normal Table"/>
    <w:qFormat/>
    <w:pPr>
      <w:widowControl/>
      <w:suppressAutoHyphens w:val="true"/>
      <w:bidi w:val="0"/>
      <w:spacing w:lineRule="auto" w:line="276" w:before="0" w:after="200"/>
      <w:jc w:val="left"/>
      <w:textAlignment w:val="auto"/>
    </w:pPr>
    <w:rPr>
      <w:rFonts w:ascii="Calibri" w:hAnsi="Calibri" w:eastAsia="Times New Roman" w:cs="Calibri"/>
      <w:color w:val="auto"/>
      <w:kern w:val="0"/>
      <w:sz w:val="22"/>
      <w:szCs w:val="22"/>
      <w:lang w:val="uk-UA" w:eastAsia="uk-U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1514</TotalTime>
  <Application>LibreOffice/7.0.1.2$Windows_X86_64 LibreOffice_project/7cbcfc562f6eb6708b5ff7d7397325de9e764452</Application>
  <Pages>10</Pages>
  <Words>3714</Words>
  <Characters>23615</Characters>
  <CharactersWithSpaces>26791</CharactersWithSpaces>
  <Paragraphs>594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2022-10-27T14:45:00Z</dcterms:created>
  <dc:creator>ID10480069</dc:creator>
  <dc:description/>
  <dc:language>uk-UA</dc:language>
  <cp:lastModifiedBy/>
  <cp:lastPrinted>2022-11-10T06:08:00Z</cp:lastPrinted>
  <dcterms:modified xsi:type="dcterms:W3CDTF">2022-11-25T09:51:26Z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