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EF" w:rsidRPr="000117EF" w:rsidRDefault="000117EF" w:rsidP="000117EF">
      <w:pPr>
        <w:widowControl w:val="0"/>
        <w:tabs>
          <w:tab w:val="left" w:pos="4860"/>
        </w:tabs>
        <w:autoSpaceDE w:val="0"/>
        <w:autoSpaceDN w:val="0"/>
        <w:adjustRightInd w:val="0"/>
        <w:jc w:val="right"/>
        <w:rPr>
          <w:b/>
          <w:bCs/>
          <w:i/>
          <w:iCs/>
          <w:sz w:val="22"/>
          <w:szCs w:val="22"/>
        </w:rPr>
      </w:pPr>
      <w:r w:rsidRPr="000117EF">
        <w:rPr>
          <w:b/>
          <w:bCs/>
          <w:i/>
          <w:iCs/>
          <w:sz w:val="22"/>
          <w:szCs w:val="22"/>
        </w:rPr>
        <w:t>Додаток 3</w:t>
      </w:r>
    </w:p>
    <w:p w:rsidR="000117EF" w:rsidRPr="000117EF" w:rsidRDefault="000117EF" w:rsidP="000117EF">
      <w:pPr>
        <w:widowControl w:val="0"/>
        <w:tabs>
          <w:tab w:val="left" w:pos="4860"/>
        </w:tabs>
        <w:autoSpaceDE w:val="0"/>
        <w:autoSpaceDN w:val="0"/>
        <w:adjustRightInd w:val="0"/>
        <w:jc w:val="right"/>
        <w:rPr>
          <w:b/>
          <w:bCs/>
          <w:i/>
          <w:iCs/>
          <w:sz w:val="22"/>
          <w:szCs w:val="22"/>
        </w:rPr>
      </w:pPr>
      <w:r w:rsidRPr="000117EF">
        <w:rPr>
          <w:b/>
          <w:bCs/>
          <w:i/>
          <w:iCs/>
          <w:sz w:val="22"/>
          <w:szCs w:val="22"/>
        </w:rPr>
        <w:t xml:space="preserve">до тендерної документації </w:t>
      </w:r>
    </w:p>
    <w:p w:rsidR="000117EF" w:rsidRPr="000117EF" w:rsidRDefault="000117EF" w:rsidP="000117EF">
      <w:pPr>
        <w:widowControl w:val="0"/>
        <w:tabs>
          <w:tab w:val="left" w:pos="4860"/>
        </w:tabs>
        <w:autoSpaceDE w:val="0"/>
        <w:autoSpaceDN w:val="0"/>
        <w:adjustRightInd w:val="0"/>
        <w:jc w:val="right"/>
        <w:rPr>
          <w:b/>
          <w:bCs/>
          <w:i/>
          <w:iCs/>
          <w:sz w:val="22"/>
          <w:szCs w:val="22"/>
        </w:rPr>
      </w:pPr>
      <w:r w:rsidRPr="000117EF">
        <w:rPr>
          <w:b/>
          <w:bCs/>
          <w:i/>
          <w:iCs/>
          <w:sz w:val="22"/>
          <w:szCs w:val="22"/>
        </w:rPr>
        <w:t>проєкт договору</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117EF">
        <w:rPr>
          <w:b/>
          <w:bCs/>
          <w:sz w:val="22"/>
          <w:szCs w:val="22"/>
        </w:rPr>
        <w:t xml:space="preserve">ДОГОВІР № </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117EF">
        <w:rPr>
          <w:b/>
          <w:bCs/>
          <w:sz w:val="22"/>
          <w:szCs w:val="22"/>
        </w:rPr>
        <w:t>про закупівлю послуг за державні кошти</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highlight w:val="yellow"/>
        </w:rPr>
      </w:pPr>
      <w:r w:rsidRPr="000117EF">
        <w:rPr>
          <w:b/>
          <w:bCs/>
          <w:sz w:val="22"/>
          <w:szCs w:val="22"/>
        </w:rPr>
        <w:t xml:space="preserve">м. Київ                                 </w:t>
      </w:r>
      <w:r w:rsidRPr="000117EF">
        <w:rPr>
          <w:b/>
          <w:bCs/>
          <w:sz w:val="22"/>
          <w:szCs w:val="22"/>
        </w:rPr>
        <w:tab/>
        <w:t xml:space="preserve">             "____ "  __________________      2023 р.</w:t>
      </w:r>
      <w:r w:rsidRPr="000117EF">
        <w:rPr>
          <w:b/>
          <w:bCs/>
          <w:sz w:val="22"/>
          <w:szCs w:val="22"/>
        </w:rPr>
        <w:br/>
      </w:r>
      <w:bookmarkStart w:id="0" w:name="17"/>
      <w:bookmarkEnd w:id="0"/>
    </w:p>
    <w:p w:rsidR="000117EF" w:rsidRDefault="000117EF" w:rsidP="000117EF">
      <w:pPr>
        <w:jc w:val="both"/>
        <w:rPr>
          <w:sz w:val="22"/>
          <w:szCs w:val="22"/>
        </w:rPr>
      </w:pPr>
      <w:r w:rsidRPr="000117EF">
        <w:rPr>
          <w:sz w:val="22"/>
          <w:szCs w:val="22"/>
        </w:rPr>
        <w:tab/>
      </w:r>
      <w:r w:rsidRPr="000117EF">
        <w:rPr>
          <w:b/>
          <w:bCs/>
          <w:sz w:val="22"/>
          <w:szCs w:val="22"/>
        </w:rPr>
        <w:t xml:space="preserve">Державна установа «Інститут нейрохірургії ім. акад. А.П.Ромоданова Національної академії медичних наук  України» </w:t>
      </w:r>
      <w:r w:rsidRPr="000117EF">
        <w:rPr>
          <w:bCs/>
          <w:sz w:val="22"/>
          <w:szCs w:val="22"/>
        </w:rPr>
        <w:t xml:space="preserve">(надалі – Замовник) </w:t>
      </w:r>
      <w:r w:rsidRPr="000117EF">
        <w:rPr>
          <w:b/>
          <w:sz w:val="22"/>
          <w:szCs w:val="22"/>
        </w:rPr>
        <w:t>в особі _____________________________________</w:t>
      </w:r>
      <w:r w:rsidRPr="000117EF">
        <w:rPr>
          <w:sz w:val="22"/>
          <w:szCs w:val="22"/>
        </w:rPr>
        <w:t>, що діє на підставі</w:t>
      </w:r>
      <w:r w:rsidRPr="000117EF">
        <w:rPr>
          <w:b/>
          <w:sz w:val="22"/>
          <w:szCs w:val="22"/>
        </w:rPr>
        <w:t>_____________________</w:t>
      </w:r>
      <w:r w:rsidRPr="000117EF">
        <w:rPr>
          <w:sz w:val="22"/>
          <w:szCs w:val="22"/>
        </w:rPr>
        <w:t>, названий в подальшому “Замовник”, з однієї сторони, і____________________________________</w:t>
      </w:r>
      <w:r w:rsidRPr="000117EF">
        <w:rPr>
          <w:b/>
          <w:sz w:val="22"/>
          <w:szCs w:val="22"/>
        </w:rPr>
        <w:t xml:space="preserve"> в особі </w:t>
      </w:r>
      <w:r w:rsidRPr="000117EF">
        <w:rPr>
          <w:sz w:val="22"/>
          <w:szCs w:val="22"/>
        </w:rPr>
        <w:t>_____________________________________</w:t>
      </w:r>
      <w:r w:rsidRPr="000117EF">
        <w:rPr>
          <w:b/>
          <w:sz w:val="22"/>
          <w:szCs w:val="22"/>
        </w:rPr>
        <w:t xml:space="preserve">, що діє на підставі ______________________ назване  в подальшому “Виконавець”, з іншої сторони, разом-Сторони, </w:t>
      </w:r>
      <w:r w:rsidRPr="000117EF">
        <w:rPr>
          <w:sz w:val="22"/>
          <w:szCs w:val="22"/>
        </w:rPr>
        <w:t>Сторони</w:t>
      </w:r>
      <w:r w:rsidRPr="000117EF">
        <w:rPr>
          <w:spacing w:val="-12"/>
          <w:sz w:val="22"/>
          <w:szCs w:val="22"/>
        </w:rPr>
        <w:t xml:space="preserve"> у </w:t>
      </w:r>
      <w:r w:rsidRPr="000117EF">
        <w:rPr>
          <w:color w:val="44464C"/>
          <w:sz w:val="22"/>
          <w:szCs w:val="22"/>
        </w:rPr>
        <w:t xml:space="preserve">відповідності до норм Цивільного та Господарського кодексів України, Закону України «Про публічні закупівлі» № 922 від 25.12.2015 р.,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12.10.2022№1178 із змінами, за результатами закупівлі </w:t>
      </w:r>
      <w:r w:rsidRPr="000117EF">
        <w:rPr>
          <w:color w:val="295EAF"/>
          <w:sz w:val="22"/>
          <w:szCs w:val="22"/>
          <w:shd w:val="clear" w:color="auto" w:fill="E8F0FE"/>
        </w:rPr>
        <w:t>_____________________</w:t>
      </w:r>
      <w:r w:rsidRPr="000117EF">
        <w:rPr>
          <w:color w:val="44464C"/>
          <w:sz w:val="22"/>
          <w:szCs w:val="22"/>
        </w:rPr>
        <w:t xml:space="preserve"> </w:t>
      </w:r>
      <w:r w:rsidRPr="000117EF">
        <w:rPr>
          <w:sz w:val="22"/>
          <w:szCs w:val="22"/>
        </w:rPr>
        <w:t>уклали цей договір (далі - Договір) про нижченаведене:</w:t>
      </w:r>
    </w:p>
    <w:p w:rsidR="000117EF" w:rsidRPr="000117EF" w:rsidRDefault="000117EF" w:rsidP="000117EF">
      <w:pPr>
        <w:jc w:val="both"/>
        <w:rPr>
          <w:sz w:val="22"/>
          <w:szCs w:val="22"/>
        </w:rPr>
      </w:pPr>
    </w:p>
    <w:p w:rsidR="000117EF" w:rsidRPr="000117EF" w:rsidRDefault="000117EF" w:rsidP="000117E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bookmarkStart w:id="1" w:name="24"/>
      <w:bookmarkEnd w:id="1"/>
      <w:r w:rsidRPr="000117EF">
        <w:rPr>
          <w:b/>
          <w:sz w:val="22"/>
          <w:szCs w:val="22"/>
        </w:rPr>
        <w:t>Предмет Договору</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2" w:name="25"/>
      <w:bookmarkEnd w:id="2"/>
      <w:r w:rsidRPr="000117EF">
        <w:rPr>
          <w:sz w:val="22"/>
          <w:szCs w:val="22"/>
        </w:rPr>
        <w:t>1.1. Виконавець зобов'язується протягом 2023 року надавати Замовникові послуги, зазначені в п. 1.2. Договору, а Замовник – прийняти і оплатити такі послуги.</w:t>
      </w:r>
    </w:p>
    <w:p w:rsidR="000117EF" w:rsidRPr="000117EF" w:rsidRDefault="000117EF" w:rsidP="000117EF">
      <w:pPr>
        <w:ind w:firstLine="709"/>
        <w:jc w:val="both"/>
        <w:rPr>
          <w:b/>
          <w:sz w:val="22"/>
          <w:szCs w:val="22"/>
        </w:rPr>
      </w:pPr>
      <w:bookmarkStart w:id="3" w:name="29"/>
      <w:bookmarkStart w:id="4" w:name="26"/>
      <w:bookmarkEnd w:id="3"/>
      <w:bookmarkEnd w:id="4"/>
      <w:r w:rsidRPr="000117EF">
        <w:rPr>
          <w:sz w:val="22"/>
          <w:szCs w:val="22"/>
        </w:rPr>
        <w:t xml:space="preserve">1.2. Найменування послуги: </w:t>
      </w:r>
      <w:r w:rsidRPr="000117EF">
        <w:rPr>
          <w:b/>
          <w:bCs/>
          <w:sz w:val="22"/>
          <w:szCs w:val="22"/>
        </w:rPr>
        <w:t xml:space="preserve">код за ДК 021:2015 - </w:t>
      </w:r>
      <w:r w:rsidRPr="000117EF">
        <w:rPr>
          <w:b/>
          <w:sz w:val="22"/>
          <w:szCs w:val="22"/>
        </w:rPr>
        <w:t xml:space="preserve">50420000-5 Послуги з ремонту і технічного обслуговування медичного та хірургічного обладнання </w:t>
      </w:r>
      <w:r w:rsidRPr="000117EF">
        <w:rPr>
          <w:b/>
          <w:bCs/>
          <w:color w:val="000000"/>
          <w:sz w:val="22"/>
          <w:szCs w:val="22"/>
        </w:rPr>
        <w:t xml:space="preserve">(поточний ремонт і технічне обслуговування </w:t>
      </w:r>
      <w:r w:rsidRPr="000117EF">
        <w:rPr>
          <w:b/>
          <w:sz w:val="22"/>
          <w:szCs w:val="22"/>
        </w:rPr>
        <w:t xml:space="preserve">обладнання </w:t>
      </w:r>
      <w:r w:rsidRPr="000117EF">
        <w:rPr>
          <w:b/>
          <w:bCs/>
          <w:color w:val="000000"/>
          <w:sz w:val="22"/>
          <w:szCs w:val="22"/>
        </w:rPr>
        <w:t xml:space="preserve">радіохірургічного стереотактичного комплексу </w:t>
      </w:r>
      <w:r w:rsidRPr="000117EF">
        <w:rPr>
          <w:b/>
          <w:sz w:val="22"/>
          <w:szCs w:val="22"/>
        </w:rPr>
        <w:t>«Trilogy»)</w:t>
      </w:r>
      <w:r w:rsidRPr="000117EF">
        <w:rPr>
          <w:b/>
          <w:bCs/>
          <w:iCs/>
          <w:color w:val="222222"/>
          <w:sz w:val="22"/>
          <w:szCs w:val="22"/>
        </w:rPr>
        <w:t>.</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5" w:name="31"/>
      <w:bookmarkEnd w:id="5"/>
      <w:r w:rsidRPr="000117EF">
        <w:rPr>
          <w:sz w:val="22"/>
          <w:szCs w:val="22"/>
        </w:rPr>
        <w:t>1.3. Обсяги закупівлі послуг можуть бути зменшені залежно від реального фінансування видатків.</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bookmarkStart w:id="6" w:name="35"/>
      <w:bookmarkEnd w:id="6"/>
      <w:r w:rsidRPr="000117EF">
        <w:rPr>
          <w:b/>
          <w:sz w:val="22"/>
          <w:szCs w:val="22"/>
        </w:rPr>
        <w:t>II. Якість послуг</w:t>
      </w:r>
    </w:p>
    <w:p w:rsidR="000117EF" w:rsidRPr="000117EF" w:rsidRDefault="000117EF" w:rsidP="000117EF">
      <w:pPr>
        <w:autoSpaceDN w:val="0"/>
        <w:ind w:firstLine="709"/>
        <w:jc w:val="both"/>
        <w:rPr>
          <w:b/>
          <w:sz w:val="22"/>
          <w:szCs w:val="22"/>
        </w:rPr>
      </w:pPr>
      <w:bookmarkStart w:id="7" w:name="36"/>
      <w:bookmarkStart w:id="8" w:name="38"/>
      <w:bookmarkEnd w:id="7"/>
      <w:bookmarkEnd w:id="8"/>
      <w:r w:rsidRPr="000117EF">
        <w:rPr>
          <w:sz w:val="22"/>
          <w:szCs w:val="22"/>
        </w:rPr>
        <w:t>2.1.Виконавець гарантує якість послуг. Послуги повинні відповідати найвищому рівню технологій і стандартів, існуючих в Україні та нормам і стандартам, законодавчо встановленим на території України.</w:t>
      </w:r>
    </w:p>
    <w:p w:rsidR="000117EF" w:rsidRPr="000117EF" w:rsidRDefault="000117EF" w:rsidP="000117EF">
      <w:pPr>
        <w:pStyle w:val="a9"/>
        <w:spacing w:after="0"/>
        <w:ind w:left="0" w:firstLine="709"/>
        <w:jc w:val="both"/>
        <w:rPr>
          <w:sz w:val="22"/>
          <w:szCs w:val="22"/>
        </w:rPr>
      </w:pPr>
      <w:r w:rsidRPr="000117EF">
        <w:rPr>
          <w:sz w:val="22"/>
          <w:szCs w:val="22"/>
        </w:rPr>
        <w:t>2.2.  Гарантія на надані послуги складає 12 (дванадцять) місяців.</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sidRPr="000117EF">
        <w:rPr>
          <w:b/>
          <w:sz w:val="22"/>
          <w:szCs w:val="22"/>
        </w:rPr>
        <w:t>III. Ціна Договору</w:t>
      </w:r>
    </w:p>
    <w:p w:rsidR="000117EF" w:rsidRPr="000117EF" w:rsidRDefault="000117EF" w:rsidP="000117EF">
      <w:pPr>
        <w:ind w:firstLine="709"/>
        <w:jc w:val="both"/>
        <w:rPr>
          <w:sz w:val="22"/>
          <w:szCs w:val="22"/>
        </w:rPr>
      </w:pPr>
      <w:bookmarkStart w:id="9" w:name="39"/>
      <w:bookmarkStart w:id="10" w:name="44"/>
      <w:bookmarkStart w:id="11" w:name="42"/>
      <w:bookmarkEnd w:id="9"/>
      <w:bookmarkEnd w:id="10"/>
      <w:bookmarkEnd w:id="11"/>
      <w:r w:rsidRPr="000117EF">
        <w:rPr>
          <w:sz w:val="22"/>
          <w:szCs w:val="22"/>
        </w:rPr>
        <w:t>3.1. Загальна вартість Договору становить _____грн., в т.ч. ПДВ ___ грн., в т.ч.:</w:t>
      </w:r>
    </w:p>
    <w:p w:rsidR="000117EF" w:rsidRPr="000117EF" w:rsidRDefault="000117EF" w:rsidP="000117EF">
      <w:pPr>
        <w:ind w:firstLine="709"/>
        <w:jc w:val="both"/>
        <w:rPr>
          <w:sz w:val="22"/>
          <w:szCs w:val="22"/>
        </w:rPr>
      </w:pPr>
      <w:r w:rsidRPr="000117EF">
        <w:rPr>
          <w:sz w:val="22"/>
          <w:szCs w:val="22"/>
        </w:rPr>
        <w:t>3.2. Розрахунки проводяться в національній валюті України (гривні).</w:t>
      </w:r>
    </w:p>
    <w:p w:rsidR="000117EF" w:rsidRPr="000117EF" w:rsidRDefault="000117EF" w:rsidP="000117EF">
      <w:pPr>
        <w:ind w:firstLine="709"/>
        <w:jc w:val="both"/>
        <w:rPr>
          <w:sz w:val="22"/>
          <w:szCs w:val="22"/>
        </w:rPr>
      </w:pPr>
      <w:r w:rsidRPr="000117EF">
        <w:rPr>
          <w:sz w:val="22"/>
          <w:szCs w:val="22"/>
        </w:rPr>
        <w:t xml:space="preserve">3.3. Протягом строку дії Договору Сторони можуть провести звірку взаємних розрахунків. </w:t>
      </w:r>
    </w:p>
    <w:p w:rsidR="000117EF" w:rsidRPr="000117EF" w:rsidRDefault="000117EF" w:rsidP="000117EF">
      <w:pPr>
        <w:ind w:firstLine="709"/>
        <w:jc w:val="both"/>
        <w:rPr>
          <w:sz w:val="22"/>
          <w:szCs w:val="22"/>
        </w:rPr>
      </w:pPr>
      <w:r w:rsidRPr="000117EF">
        <w:rPr>
          <w:sz w:val="22"/>
          <w:szCs w:val="22"/>
        </w:rPr>
        <w:t>3.4.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sidRPr="000117EF">
        <w:rPr>
          <w:b/>
          <w:sz w:val="22"/>
          <w:szCs w:val="22"/>
        </w:rPr>
        <w:t>IV. Порядок здійснення оплати</w:t>
      </w:r>
    </w:p>
    <w:p w:rsidR="000117EF" w:rsidRPr="000117EF" w:rsidRDefault="000117EF" w:rsidP="000117EF">
      <w:pPr>
        <w:ind w:firstLine="709"/>
        <w:jc w:val="both"/>
        <w:rPr>
          <w:sz w:val="22"/>
          <w:szCs w:val="22"/>
        </w:rPr>
      </w:pPr>
      <w:bookmarkStart w:id="12" w:name="45"/>
      <w:bookmarkStart w:id="13" w:name="55"/>
      <w:bookmarkStart w:id="14" w:name="52"/>
      <w:bookmarkStart w:id="15" w:name="50"/>
      <w:bookmarkEnd w:id="12"/>
      <w:bookmarkEnd w:id="13"/>
      <w:bookmarkEnd w:id="14"/>
      <w:bookmarkEnd w:id="15"/>
      <w:r w:rsidRPr="000117EF">
        <w:rPr>
          <w:sz w:val="22"/>
          <w:szCs w:val="22"/>
        </w:rPr>
        <w:t>4.1. Оплата  отриманих Замовником послуг проводиться на підставі Акту виконаних робіт, підписаного представниками Сторін, шляхом перерахування  коштів на поточний рахунок Виконавця.</w:t>
      </w:r>
    </w:p>
    <w:p w:rsidR="000117EF" w:rsidRPr="000117EF" w:rsidRDefault="000117EF" w:rsidP="000117EF">
      <w:pPr>
        <w:ind w:firstLine="709"/>
        <w:jc w:val="both"/>
        <w:rPr>
          <w:sz w:val="22"/>
          <w:szCs w:val="22"/>
        </w:rPr>
      </w:pPr>
      <w:r w:rsidRPr="000117EF">
        <w:rPr>
          <w:sz w:val="22"/>
          <w:szCs w:val="22"/>
        </w:rPr>
        <w:t>4.2. Оплата вартості послуг  здійснюється протягом 30 (тридцяти) календарних днів після підписання Акту наданих послуг.</w:t>
      </w:r>
    </w:p>
    <w:p w:rsidR="000117EF" w:rsidRPr="000117EF" w:rsidRDefault="000117EF" w:rsidP="000117EF">
      <w:pPr>
        <w:ind w:firstLine="709"/>
        <w:jc w:val="both"/>
        <w:rPr>
          <w:sz w:val="22"/>
          <w:szCs w:val="22"/>
        </w:rPr>
      </w:pPr>
      <w:r w:rsidRPr="000117EF">
        <w:rPr>
          <w:sz w:val="22"/>
          <w:szCs w:val="22"/>
        </w:rPr>
        <w:t>4.3. У разі затримки бюджетного фінансування розрахунок здійснюється протягом 14 днів з дня надходження коштів на рахунок на вказані цілі.</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sidRPr="000117EF">
        <w:rPr>
          <w:b/>
          <w:sz w:val="22"/>
          <w:szCs w:val="22"/>
        </w:rPr>
        <w:t>V. Надання послуг</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16" w:name="56"/>
      <w:bookmarkEnd w:id="16"/>
      <w:r w:rsidRPr="000117EF">
        <w:rPr>
          <w:sz w:val="22"/>
          <w:szCs w:val="22"/>
        </w:rPr>
        <w:t xml:space="preserve">5.1. Термін надання послуг: </w:t>
      </w:r>
      <w:r w:rsidRPr="000117EF">
        <w:rPr>
          <w:b/>
          <w:sz w:val="22"/>
          <w:szCs w:val="22"/>
        </w:rPr>
        <w:t>до 31 грудня 2023 року</w:t>
      </w:r>
      <w:r w:rsidRPr="000117EF">
        <w:rPr>
          <w:sz w:val="22"/>
          <w:szCs w:val="22"/>
        </w:rPr>
        <w:t>.</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17" w:name="58"/>
      <w:bookmarkEnd w:id="17"/>
      <w:r w:rsidRPr="000117EF">
        <w:rPr>
          <w:sz w:val="22"/>
          <w:szCs w:val="22"/>
        </w:rPr>
        <w:t xml:space="preserve">5.2. Місце  надання послуг: </w:t>
      </w:r>
      <w:bookmarkStart w:id="18" w:name="61"/>
      <w:bookmarkEnd w:id="18"/>
      <w:r w:rsidRPr="000117EF">
        <w:rPr>
          <w:b/>
          <w:sz w:val="22"/>
          <w:szCs w:val="22"/>
        </w:rPr>
        <w:t>вул. Платона Майбороди, 32, м. Київ, 04050</w:t>
      </w:r>
      <w:r w:rsidRPr="000117EF">
        <w:rPr>
          <w:sz w:val="22"/>
          <w:szCs w:val="22"/>
        </w:rPr>
        <w:t>.</w:t>
      </w:r>
    </w:p>
    <w:p w:rsid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sz w:val="22"/>
          <w:szCs w:val="22"/>
        </w:rPr>
      </w:pP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sz w:val="22"/>
          <w:szCs w:val="22"/>
        </w:rPr>
      </w:pPr>
      <w:r w:rsidRPr="000117EF">
        <w:rPr>
          <w:b/>
          <w:sz w:val="22"/>
          <w:szCs w:val="22"/>
        </w:rPr>
        <w:t>VI. Права та обов'язки сторін</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2"/>
          <w:szCs w:val="22"/>
        </w:rPr>
      </w:pPr>
      <w:bookmarkStart w:id="19" w:name="62"/>
      <w:bookmarkEnd w:id="19"/>
      <w:r w:rsidRPr="000117EF">
        <w:rPr>
          <w:sz w:val="22"/>
          <w:szCs w:val="22"/>
        </w:rPr>
        <w:t>6.1. Замовник зобов'язаний:</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20" w:name="63"/>
      <w:bookmarkEnd w:id="20"/>
      <w:r w:rsidRPr="000117EF">
        <w:rPr>
          <w:sz w:val="22"/>
          <w:szCs w:val="22"/>
        </w:rPr>
        <w:t>6.1.1. своєчасно та в повному обсязі сплачувати за надані послуги;</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21" w:name="64"/>
      <w:bookmarkEnd w:id="21"/>
      <w:r w:rsidRPr="000117EF">
        <w:rPr>
          <w:sz w:val="22"/>
          <w:szCs w:val="22"/>
        </w:rPr>
        <w:lastRenderedPageBreak/>
        <w:t>6.1.2. приймати надані  послуги згідно з актом наданих послуг.</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22" w:name="66"/>
      <w:bookmarkStart w:id="23" w:name="65"/>
      <w:bookmarkEnd w:id="22"/>
      <w:bookmarkEnd w:id="23"/>
      <w:r w:rsidRPr="000117EF">
        <w:rPr>
          <w:sz w:val="22"/>
          <w:szCs w:val="22"/>
        </w:rPr>
        <w:t>6.2. Замовник має право:</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24" w:name="67"/>
      <w:bookmarkEnd w:id="24"/>
      <w:r w:rsidRPr="000117EF">
        <w:rPr>
          <w:sz w:val="22"/>
          <w:szCs w:val="22"/>
        </w:rPr>
        <w:t>6.2.1. достроково розірвати цей Договір у разі невиконання зобов'язань Виконавцем, повідомивши про це його у строк протягом трьох днів;</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25" w:name="68"/>
      <w:bookmarkEnd w:id="25"/>
      <w:r w:rsidRPr="000117EF">
        <w:rPr>
          <w:sz w:val="22"/>
          <w:szCs w:val="22"/>
        </w:rPr>
        <w:t>6.2.2. контролювати надання послуг у строки, встановлені цим Договором;</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26" w:name="69"/>
      <w:bookmarkEnd w:id="26"/>
      <w:r w:rsidRPr="000117EF">
        <w:rPr>
          <w:sz w:val="22"/>
          <w:szCs w:val="22"/>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27" w:name="70"/>
      <w:bookmarkEnd w:id="27"/>
      <w:r w:rsidRPr="000117EF">
        <w:rPr>
          <w:sz w:val="22"/>
          <w:szCs w:val="22"/>
        </w:rPr>
        <w:t>6.2.4. повернути рахунок Виконавцю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28" w:name="72"/>
      <w:bookmarkStart w:id="29" w:name="71"/>
      <w:bookmarkEnd w:id="28"/>
      <w:bookmarkEnd w:id="29"/>
      <w:r w:rsidRPr="000117EF">
        <w:rPr>
          <w:sz w:val="22"/>
          <w:szCs w:val="22"/>
        </w:rPr>
        <w:t>6.3. Виконавець зобов'язаний:</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30" w:name="73"/>
      <w:bookmarkEnd w:id="30"/>
      <w:r w:rsidRPr="000117EF">
        <w:rPr>
          <w:sz w:val="22"/>
          <w:szCs w:val="22"/>
        </w:rPr>
        <w:t>6.3.1. забезпечити  надання послуг у строки, встановлені цим Договором;</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31" w:name="74"/>
      <w:bookmarkEnd w:id="31"/>
      <w:r w:rsidRPr="000117EF">
        <w:rPr>
          <w:sz w:val="22"/>
          <w:szCs w:val="22"/>
        </w:rPr>
        <w:t xml:space="preserve">6.3.2. забезпечити надання послуг, якість яких відповідає умовам, установленим розділом II цього Договору. </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32" w:name="76"/>
      <w:bookmarkStart w:id="33" w:name="75"/>
      <w:bookmarkEnd w:id="32"/>
      <w:bookmarkEnd w:id="33"/>
      <w:r w:rsidRPr="000117EF">
        <w:rPr>
          <w:sz w:val="22"/>
          <w:szCs w:val="22"/>
        </w:rPr>
        <w:t>6.4. Виконавець має право:</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34" w:name="77"/>
      <w:bookmarkEnd w:id="34"/>
      <w:r w:rsidRPr="000117EF">
        <w:rPr>
          <w:sz w:val="22"/>
          <w:szCs w:val="22"/>
        </w:rPr>
        <w:t>6.4.1. своєчасно та в повному обсязі отримувати плату за надані послуги;</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35" w:name="78"/>
      <w:bookmarkEnd w:id="35"/>
      <w:r w:rsidRPr="000117EF">
        <w:rPr>
          <w:sz w:val="22"/>
          <w:szCs w:val="22"/>
        </w:rPr>
        <w:t>6.4.2. у разі невиконання зобов'язань Замовником Учасник має право достроково  розірвати цей Договір, повідомивши про це Замовника протягом трьох днів з дня невиконання Замовником свої зобов'язань.</w:t>
      </w:r>
    </w:p>
    <w:p w:rsid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bookmarkStart w:id="36" w:name="81"/>
      <w:bookmarkStart w:id="37" w:name="80"/>
      <w:bookmarkEnd w:id="36"/>
      <w:bookmarkEnd w:id="37"/>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sidRPr="000117EF">
        <w:rPr>
          <w:b/>
          <w:sz w:val="22"/>
          <w:szCs w:val="22"/>
        </w:rPr>
        <w:t>VII. Відповідальність сторін</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38" w:name="82"/>
      <w:bookmarkStart w:id="39" w:name="_GoBack"/>
      <w:bookmarkEnd w:id="38"/>
      <w:bookmarkEnd w:id="39"/>
      <w:r w:rsidRPr="000117EF">
        <w:rPr>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117EF" w:rsidRPr="000117EF" w:rsidRDefault="000117EF" w:rsidP="000117EF">
      <w:pPr>
        <w:pStyle w:val="1"/>
        <w:spacing w:before="0" w:after="0"/>
        <w:ind w:firstLine="709"/>
        <w:jc w:val="both"/>
        <w:rPr>
          <w:sz w:val="22"/>
          <w:szCs w:val="22"/>
          <w:lang w:val="uk-UA"/>
        </w:rPr>
      </w:pPr>
      <w:bookmarkStart w:id="40" w:name="83"/>
      <w:bookmarkEnd w:id="40"/>
      <w:r w:rsidRPr="000117EF">
        <w:rPr>
          <w:color w:val="000000"/>
          <w:sz w:val="22"/>
          <w:szCs w:val="22"/>
          <w:lang w:val="uk-UA"/>
        </w:rPr>
        <w:t xml:space="preserve">7.2.  У разі невиконання або несвоєчасного виконання зобов'язань при закупівлі послуг за бюджетні кошти Учасник </w:t>
      </w:r>
      <w:r w:rsidRPr="000117EF">
        <w:rPr>
          <w:sz w:val="22"/>
          <w:szCs w:val="22"/>
          <w:lang w:val="uk-UA"/>
        </w:rPr>
        <w:t>сплачує Замовнику штрафні санкції.</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0117EF">
        <w:rPr>
          <w:sz w:val="22"/>
          <w:szCs w:val="22"/>
        </w:rP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0117EF">
        <w:rPr>
          <w:sz w:val="22"/>
          <w:szCs w:val="22"/>
        </w:rPr>
        <w:t>7.4. За порушення Виконавцем умов зобов'язання щодо якості послуг Виконавець сплачує на користь останнього штраф у розмірі двадцяти відсотків вартості неякісних послуг.</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0117EF">
        <w:rPr>
          <w:sz w:val="22"/>
          <w:szCs w:val="22"/>
        </w:rPr>
        <w:t>7.5.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sidRPr="000117EF">
        <w:rPr>
          <w:b/>
          <w:sz w:val="22"/>
          <w:szCs w:val="22"/>
        </w:rPr>
        <w:t>VIII. Обставини непереборної сили</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41" w:name="87"/>
      <w:bookmarkEnd w:id="41"/>
      <w:r w:rsidRPr="000117EF">
        <w:rPr>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42" w:name="88"/>
      <w:bookmarkEnd w:id="42"/>
      <w:r w:rsidRPr="000117EF">
        <w:rPr>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0117EF">
        <w:rPr>
          <w:sz w:val="22"/>
          <w:szCs w:val="22"/>
        </w:rPr>
        <w:t>8.3. Доказом виникнення обставин непереборної сили та строку їх дії є відповідні документи, які видаються компетентними органами.</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43" w:name="91"/>
      <w:bookmarkStart w:id="44" w:name="89"/>
      <w:bookmarkEnd w:id="43"/>
      <w:bookmarkEnd w:id="44"/>
      <w:r w:rsidRPr="000117EF">
        <w:rPr>
          <w:sz w:val="22"/>
          <w:szCs w:val="22"/>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bookmarkStart w:id="45" w:name="92"/>
      <w:bookmarkEnd w:id="45"/>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sidRPr="000117EF">
        <w:rPr>
          <w:b/>
          <w:sz w:val="22"/>
          <w:szCs w:val="22"/>
        </w:rPr>
        <w:t>IX. Вирішення спорів</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46" w:name="93"/>
      <w:bookmarkEnd w:id="46"/>
      <w:r w:rsidRPr="000117EF">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47" w:name="94"/>
      <w:bookmarkEnd w:id="47"/>
      <w:r w:rsidRPr="000117EF">
        <w:rPr>
          <w:sz w:val="22"/>
          <w:szCs w:val="22"/>
        </w:rPr>
        <w:t>9.2. У разі недосягнення Сторонами згоди спори (розбіжності) вирішуються у судовому порядку.</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sz w:val="22"/>
          <w:szCs w:val="22"/>
        </w:rPr>
      </w:pPr>
      <w:bookmarkStart w:id="48" w:name="98"/>
      <w:bookmarkStart w:id="49" w:name="95"/>
      <w:bookmarkEnd w:id="48"/>
      <w:bookmarkEnd w:id="49"/>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sz w:val="22"/>
          <w:szCs w:val="22"/>
        </w:rPr>
      </w:pPr>
      <w:r w:rsidRPr="000117EF">
        <w:rPr>
          <w:b/>
          <w:sz w:val="22"/>
          <w:szCs w:val="22"/>
        </w:rPr>
        <w:t>X. Строк дії Договору</w:t>
      </w:r>
      <w:bookmarkStart w:id="50" w:name="99"/>
      <w:bookmarkEnd w:id="50"/>
    </w:p>
    <w:p w:rsidR="000117EF" w:rsidRPr="000117EF" w:rsidRDefault="000117EF" w:rsidP="000117EF">
      <w:pPr>
        <w:pStyle w:val="a3"/>
        <w:numPr>
          <w:ilvl w:val="1"/>
          <w:numId w:val="1"/>
        </w:numPr>
        <w:autoSpaceDE w:val="0"/>
        <w:autoSpaceDN w:val="0"/>
        <w:adjustRightInd w:val="0"/>
        <w:ind w:left="0" w:firstLine="709"/>
        <w:jc w:val="both"/>
        <w:rPr>
          <w:rFonts w:ascii="Times New Roman" w:hAnsi="Times New Roman" w:cs="Times New Roman"/>
          <w:color w:val="434449"/>
          <w:sz w:val="22"/>
          <w:szCs w:val="22"/>
        </w:rPr>
      </w:pPr>
      <w:r w:rsidRPr="000117EF">
        <w:rPr>
          <w:rFonts w:ascii="Times New Roman" w:hAnsi="Times New Roman" w:cs="Times New Roman"/>
          <w:color w:val="414349"/>
          <w:sz w:val="22"/>
          <w:szCs w:val="22"/>
        </w:rPr>
        <w:t xml:space="preserve">Цей Договір стає чинним з моменту його підписання і діє на період дії правового режиму воєнного стану в Україні та протягом 90 днів з дня його припинення або скасування, але не пізніше 31 грудня </w:t>
      </w:r>
      <w:r w:rsidRPr="000117EF">
        <w:rPr>
          <w:rFonts w:ascii="Times New Roman" w:hAnsi="Times New Roman" w:cs="Times New Roman"/>
          <w:color w:val="434449"/>
          <w:sz w:val="22"/>
          <w:szCs w:val="22"/>
        </w:rPr>
        <w:t xml:space="preserve">2023 року, а стосовно розрахунків - до повного їх виконання.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w:t>
      </w:r>
      <w:r w:rsidRPr="000117EF">
        <w:rPr>
          <w:rFonts w:ascii="Times New Roman" w:hAnsi="Times New Roman" w:cs="Times New Roman"/>
          <w:color w:val="434449"/>
          <w:sz w:val="22"/>
          <w:szCs w:val="22"/>
        </w:rPr>
        <w:lastRenderedPageBreak/>
        <w:t xml:space="preserve">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0117EF" w:rsidRPr="000117EF" w:rsidRDefault="000117EF" w:rsidP="000117EF">
      <w:pPr>
        <w:pStyle w:val="a3"/>
        <w:numPr>
          <w:ilvl w:val="1"/>
          <w:numId w:val="1"/>
        </w:numPr>
        <w:autoSpaceDE w:val="0"/>
        <w:autoSpaceDN w:val="0"/>
        <w:adjustRightInd w:val="0"/>
        <w:ind w:left="0" w:firstLine="709"/>
        <w:jc w:val="both"/>
        <w:rPr>
          <w:rFonts w:ascii="Times New Roman" w:hAnsi="Times New Roman" w:cs="Times New Roman"/>
          <w:color w:val="434449"/>
          <w:sz w:val="22"/>
          <w:szCs w:val="22"/>
        </w:rPr>
      </w:pPr>
      <w:r w:rsidRPr="000117EF">
        <w:rPr>
          <w:rFonts w:ascii="Times New Roman" w:hAnsi="Times New Roman" w:cs="Times New Roman"/>
          <w:color w:val="434449"/>
          <w:sz w:val="22"/>
          <w:szCs w:val="22"/>
        </w:rPr>
        <w:t>Дія договору може припинятися:</w:t>
      </w:r>
    </w:p>
    <w:p w:rsidR="000117EF" w:rsidRPr="000117EF" w:rsidRDefault="000117EF" w:rsidP="000117EF">
      <w:pPr>
        <w:pStyle w:val="a3"/>
        <w:numPr>
          <w:ilvl w:val="0"/>
          <w:numId w:val="2"/>
        </w:numPr>
        <w:autoSpaceDE w:val="0"/>
        <w:autoSpaceDN w:val="0"/>
        <w:adjustRightInd w:val="0"/>
        <w:ind w:left="0" w:firstLine="709"/>
        <w:jc w:val="both"/>
        <w:rPr>
          <w:rFonts w:ascii="Times New Roman" w:hAnsi="Times New Roman" w:cs="Times New Roman"/>
          <w:color w:val="434449"/>
          <w:sz w:val="22"/>
          <w:szCs w:val="22"/>
        </w:rPr>
      </w:pPr>
      <w:r w:rsidRPr="000117EF">
        <w:rPr>
          <w:rFonts w:ascii="Times New Roman" w:hAnsi="Times New Roman" w:cs="Times New Roman"/>
          <w:color w:val="434449"/>
          <w:sz w:val="22"/>
          <w:szCs w:val="22"/>
        </w:rPr>
        <w:t>В односторонньому порядку за ініціативою Покупця за порушення Виконавцем умов цього договору.</w:t>
      </w:r>
    </w:p>
    <w:p w:rsidR="000117EF" w:rsidRPr="000117EF" w:rsidRDefault="000117EF" w:rsidP="000117EF">
      <w:pPr>
        <w:pStyle w:val="a3"/>
        <w:numPr>
          <w:ilvl w:val="0"/>
          <w:numId w:val="2"/>
        </w:numPr>
        <w:autoSpaceDE w:val="0"/>
        <w:autoSpaceDN w:val="0"/>
        <w:adjustRightInd w:val="0"/>
        <w:ind w:left="0" w:firstLine="709"/>
        <w:jc w:val="both"/>
        <w:rPr>
          <w:rFonts w:ascii="Times New Roman" w:hAnsi="Times New Roman" w:cs="Times New Roman"/>
          <w:color w:val="434449"/>
          <w:sz w:val="22"/>
          <w:szCs w:val="22"/>
        </w:rPr>
      </w:pPr>
      <w:r w:rsidRPr="000117EF">
        <w:rPr>
          <w:rFonts w:ascii="Times New Roman" w:hAnsi="Times New Roman" w:cs="Times New Roman"/>
          <w:color w:val="434449"/>
          <w:sz w:val="22"/>
          <w:szCs w:val="22"/>
        </w:rPr>
        <w:t>З інших підстав передбачених чинним законодавством.</w:t>
      </w:r>
    </w:p>
    <w:p w:rsidR="000117EF" w:rsidRPr="000117EF" w:rsidRDefault="000117EF" w:rsidP="000117EF">
      <w:pPr>
        <w:pStyle w:val="a3"/>
        <w:numPr>
          <w:ilvl w:val="1"/>
          <w:numId w:val="1"/>
        </w:numPr>
        <w:ind w:left="0" w:firstLine="709"/>
        <w:jc w:val="both"/>
        <w:rPr>
          <w:rFonts w:ascii="Times New Roman" w:hAnsi="Times New Roman" w:cs="Times New Roman"/>
          <w:color w:val="000000"/>
          <w:sz w:val="22"/>
          <w:szCs w:val="22"/>
        </w:rPr>
      </w:pPr>
      <w:r w:rsidRPr="000117EF">
        <w:rPr>
          <w:rFonts w:ascii="Times New Roman" w:hAnsi="Times New Roman" w:cs="Times New Roman"/>
          <w:color w:val="000000"/>
          <w:sz w:val="22"/>
          <w:szCs w:val="22"/>
        </w:rPr>
        <w:t xml:space="preserve">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0117EF" w:rsidRPr="000117EF" w:rsidRDefault="000117EF" w:rsidP="000117EF">
      <w:pPr>
        <w:pStyle w:val="a3"/>
        <w:numPr>
          <w:ilvl w:val="1"/>
          <w:numId w:val="1"/>
        </w:numPr>
        <w:shd w:val="clear" w:color="auto" w:fill="FFFFFF"/>
        <w:ind w:left="0" w:firstLine="709"/>
        <w:jc w:val="both"/>
        <w:rPr>
          <w:rFonts w:ascii="Times New Roman" w:hAnsi="Times New Roman" w:cs="Times New Roman"/>
          <w:color w:val="000000"/>
          <w:sz w:val="22"/>
          <w:szCs w:val="22"/>
        </w:rPr>
      </w:pPr>
      <w:r w:rsidRPr="000117EF">
        <w:rPr>
          <w:rFonts w:ascii="Times New Roman" w:hAnsi="Times New Roman" w:cs="Times New Roman"/>
          <w:color w:val="000000"/>
          <w:sz w:val="22"/>
          <w:szCs w:val="22"/>
        </w:rPr>
        <w:t>Цей Договір складений українською мовою, в двох примірниках, що мають однакову юридичну силу для кожної з Сторін.</w:t>
      </w:r>
    </w:p>
    <w:p w:rsidR="000117EF" w:rsidRPr="000117EF" w:rsidRDefault="000117EF" w:rsidP="000117EF">
      <w:pPr>
        <w:ind w:firstLine="567"/>
        <w:jc w:val="both"/>
        <w:rPr>
          <w:b/>
          <w:sz w:val="22"/>
          <w:szCs w:val="22"/>
          <w:lang w:val="ru-RU"/>
        </w:rPr>
      </w:pP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sidRPr="000117EF">
        <w:rPr>
          <w:b/>
          <w:sz w:val="22"/>
          <w:szCs w:val="22"/>
        </w:rPr>
        <w:t>XI. Інші умови</w:t>
      </w:r>
    </w:p>
    <w:p w:rsidR="000117EF" w:rsidRPr="000117EF" w:rsidRDefault="000117EF" w:rsidP="000117EF">
      <w:pPr>
        <w:ind w:right="-1" w:firstLine="709"/>
        <w:jc w:val="both"/>
        <w:rPr>
          <w:bCs/>
          <w:sz w:val="22"/>
          <w:szCs w:val="22"/>
        </w:rPr>
      </w:pPr>
      <w:r w:rsidRPr="000117EF">
        <w:rPr>
          <w:bCs/>
          <w:sz w:val="22"/>
          <w:szCs w:val="22"/>
        </w:rPr>
        <w:t xml:space="preserve">11.1. Умови цього Договору можуть бути зміненні за згодою Сторін з урахуванням особливостей здійснення публічних закупівель </w:t>
      </w:r>
      <w:r w:rsidRPr="000117EF">
        <w:rPr>
          <w:sz w:val="22"/>
          <w:szCs w:val="22"/>
        </w:rPr>
        <w:t>товарів, робіт і послуг для замовників</w:t>
      </w:r>
      <w:r w:rsidRPr="000117EF">
        <w:rPr>
          <w:bCs/>
          <w:sz w:val="22"/>
          <w:szCs w:val="22"/>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w:t>
      </w:r>
    </w:p>
    <w:p w:rsidR="000117EF" w:rsidRPr="000117EF" w:rsidRDefault="000117EF" w:rsidP="000117EF">
      <w:pPr>
        <w:ind w:right="-1" w:firstLine="709"/>
        <w:jc w:val="both"/>
        <w:rPr>
          <w:bCs/>
          <w:sz w:val="22"/>
          <w:szCs w:val="22"/>
        </w:rPr>
      </w:pPr>
      <w:r w:rsidRPr="000117EF">
        <w:rPr>
          <w:bCs/>
          <w:sz w:val="22"/>
          <w:szCs w:val="22"/>
        </w:rPr>
        <w:t>11.2. Всі зміни та доповнення до Договору вносяться письмово, шляхом укладання додаткових угод.</w:t>
      </w:r>
    </w:p>
    <w:p w:rsidR="000117EF" w:rsidRPr="000117EF" w:rsidRDefault="000117EF" w:rsidP="000117EF">
      <w:pPr>
        <w:ind w:right="-1" w:firstLine="709"/>
        <w:jc w:val="both"/>
        <w:rPr>
          <w:bCs/>
          <w:sz w:val="22"/>
          <w:szCs w:val="22"/>
        </w:rPr>
      </w:pPr>
      <w:r w:rsidRPr="000117EF">
        <w:rPr>
          <w:bCs/>
          <w:sz w:val="22"/>
          <w:szCs w:val="22"/>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r w:rsidRPr="000117EF">
        <w:rPr>
          <w:sz w:val="22"/>
          <w:szCs w:val="22"/>
        </w:rPr>
        <w:t>1) зменшення обсягів закупівлі, зокрема з урахуванням фактичного обсягу видатків замовника;</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bookmarkStart w:id="51" w:name="n75"/>
      <w:bookmarkEnd w:id="51"/>
      <w:r w:rsidRPr="000117EF">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bookmarkStart w:id="52" w:name="n76"/>
      <w:bookmarkEnd w:id="52"/>
      <w:r w:rsidRPr="000117EF">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bookmarkStart w:id="53" w:name="n77"/>
      <w:bookmarkEnd w:id="53"/>
      <w:r w:rsidRPr="000117EF">
        <w:rPr>
          <w:sz w:val="22"/>
          <w:szCs w:val="22"/>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bookmarkStart w:id="54" w:name="n78"/>
      <w:bookmarkEnd w:id="54"/>
      <w:r w:rsidRPr="000117EF">
        <w:rPr>
          <w:sz w:val="22"/>
          <w:szCs w:val="22"/>
        </w:rPr>
        <w:t>5) погодження зміни ціни в договорі про закупівлю в бік зменшення (без зміни кількості  та якості товарів);</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bookmarkStart w:id="55" w:name="n79"/>
      <w:bookmarkEnd w:id="55"/>
      <w:r w:rsidRPr="000117EF">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bookmarkStart w:id="56" w:name="n80"/>
      <w:bookmarkEnd w:id="56"/>
      <w:r w:rsidRPr="000117EF">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bookmarkStart w:id="57" w:name="n81"/>
      <w:bookmarkEnd w:id="57"/>
      <w:r w:rsidRPr="000117EF">
        <w:rPr>
          <w:sz w:val="22"/>
          <w:szCs w:val="22"/>
        </w:rPr>
        <w:t>8) зміни умов у зв’язку із застосуванням положень </w:t>
      </w:r>
      <w:hyperlink r:id="rId5" w:anchor="n1778" w:tgtFrame="_blank" w:history="1">
        <w:r w:rsidRPr="000117EF">
          <w:rPr>
            <w:rStyle w:val="a8"/>
            <w:sz w:val="22"/>
            <w:szCs w:val="22"/>
          </w:rPr>
          <w:t>частини шостої</w:t>
        </w:r>
      </w:hyperlink>
      <w:r w:rsidRPr="000117EF">
        <w:rPr>
          <w:sz w:val="22"/>
          <w:szCs w:val="22"/>
        </w:rPr>
        <w:t> статті 41 Закону:</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r w:rsidRPr="000117EF">
        <w:rPr>
          <w:color w:val="333333"/>
          <w:sz w:val="22"/>
          <w:szCs w:val="22"/>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117EF" w:rsidRPr="000117EF" w:rsidRDefault="000117EF" w:rsidP="000117EF">
      <w:pPr>
        <w:tabs>
          <w:tab w:val="left" w:pos="709"/>
          <w:tab w:val="left" w:pos="851"/>
        </w:tabs>
        <w:ind w:right="-1" w:firstLine="709"/>
        <w:jc w:val="both"/>
        <w:rPr>
          <w:sz w:val="22"/>
          <w:szCs w:val="22"/>
          <w:lang w:eastAsia="uk-UA"/>
        </w:rPr>
      </w:pPr>
      <w:r w:rsidRPr="000117EF">
        <w:rPr>
          <w:sz w:val="22"/>
          <w:szCs w:val="22"/>
          <w:lang w:eastAsia="uk-UA"/>
        </w:rPr>
        <w:t>11.4. Договір про закупівлю є нікчемним у разі:</w:t>
      </w:r>
    </w:p>
    <w:p w:rsidR="000117EF" w:rsidRPr="000117EF" w:rsidRDefault="000117EF" w:rsidP="000117EF">
      <w:pPr>
        <w:pStyle w:val="rvps2"/>
        <w:shd w:val="clear" w:color="auto" w:fill="FFFFFF"/>
        <w:spacing w:before="0" w:beforeAutospacing="0" w:after="0" w:afterAutospacing="0"/>
        <w:ind w:right="-1" w:firstLine="709"/>
        <w:jc w:val="both"/>
        <w:rPr>
          <w:sz w:val="22"/>
          <w:szCs w:val="22"/>
          <w:lang w:eastAsia="ar-SA"/>
        </w:rPr>
      </w:pPr>
      <w:r w:rsidRPr="000117EF">
        <w:rPr>
          <w:sz w:val="22"/>
          <w:szCs w:val="22"/>
        </w:rPr>
        <w:t>1) коли замовник уклав договір про закупівлю з порушенням вимог, визначених </w:t>
      </w:r>
      <w:hyperlink r:id="rId6" w:anchor="n24" w:history="1">
        <w:r w:rsidRPr="000117EF">
          <w:rPr>
            <w:rStyle w:val="a8"/>
            <w:sz w:val="22"/>
            <w:szCs w:val="22"/>
          </w:rPr>
          <w:t>пунктом 5</w:t>
        </w:r>
      </w:hyperlink>
      <w:r w:rsidRPr="000117EF">
        <w:rPr>
          <w:sz w:val="22"/>
          <w:szCs w:val="22"/>
        </w:rPr>
        <w:t> цих особливостей;</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bookmarkStart w:id="58" w:name="n96"/>
      <w:bookmarkEnd w:id="58"/>
      <w:r w:rsidRPr="000117EF">
        <w:rPr>
          <w:sz w:val="22"/>
          <w:szCs w:val="22"/>
        </w:rPr>
        <w:t>2) укладення договору про закупівлю з порушенням вимог </w:t>
      </w:r>
      <w:hyperlink r:id="rId7" w:anchor="n69" w:history="1">
        <w:r w:rsidRPr="000117EF">
          <w:rPr>
            <w:rStyle w:val="a8"/>
            <w:sz w:val="22"/>
            <w:szCs w:val="22"/>
          </w:rPr>
          <w:t>пункту 18</w:t>
        </w:r>
      </w:hyperlink>
      <w:r w:rsidRPr="000117EF">
        <w:rPr>
          <w:sz w:val="22"/>
          <w:szCs w:val="22"/>
        </w:rPr>
        <w:t> цих особливостей;</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bookmarkStart w:id="59" w:name="n97"/>
      <w:bookmarkEnd w:id="59"/>
      <w:r w:rsidRPr="000117EF">
        <w:rPr>
          <w:sz w:val="22"/>
          <w:szCs w:val="22"/>
        </w:rPr>
        <w:t>3) укладення договору про закупівлю в період оскарження відкритих торгів відповідно до </w:t>
      </w:r>
      <w:hyperlink r:id="rId8" w:anchor="n1284" w:tgtFrame="_blank" w:history="1">
        <w:r w:rsidRPr="000117EF">
          <w:rPr>
            <w:rStyle w:val="a8"/>
            <w:sz w:val="22"/>
            <w:szCs w:val="22"/>
          </w:rPr>
          <w:t>статті 18</w:t>
        </w:r>
      </w:hyperlink>
      <w:r w:rsidRPr="000117EF">
        <w:rPr>
          <w:sz w:val="22"/>
          <w:szCs w:val="22"/>
        </w:rPr>
        <w:t> Закону та цих особливостей;</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bookmarkStart w:id="60" w:name="n98"/>
      <w:bookmarkEnd w:id="60"/>
      <w:r w:rsidRPr="000117EF">
        <w:rPr>
          <w:sz w:val="22"/>
          <w:szCs w:val="22"/>
        </w:rPr>
        <w:t>4) укладення договору з порушенням строків, передбачених абзацами </w:t>
      </w:r>
      <w:hyperlink r:id="rId9" w:anchor="n169" w:history="1">
        <w:r w:rsidRPr="000117EF">
          <w:rPr>
            <w:rStyle w:val="a8"/>
            <w:sz w:val="22"/>
            <w:szCs w:val="22"/>
          </w:rPr>
          <w:t>третім</w:t>
        </w:r>
      </w:hyperlink>
      <w:r w:rsidRPr="000117EF">
        <w:rPr>
          <w:sz w:val="22"/>
          <w:szCs w:val="22"/>
        </w:rPr>
        <w:t> та </w:t>
      </w:r>
      <w:hyperlink r:id="rId10" w:anchor="n170" w:history="1">
        <w:r w:rsidRPr="000117EF">
          <w:rPr>
            <w:rStyle w:val="a8"/>
            <w:sz w:val="22"/>
            <w:szCs w:val="22"/>
          </w:rPr>
          <w:t>четвертим</w:t>
        </w:r>
      </w:hyperlink>
      <w:r w:rsidRPr="000117EF">
        <w:rPr>
          <w:sz w:val="22"/>
          <w:szCs w:val="22"/>
        </w:rPr>
        <w:t xml:space="preserve"> пункту 46 цих особливостей, крім випадків зупинення перебігу строків </w:t>
      </w:r>
      <w:r w:rsidRPr="000117EF">
        <w:rPr>
          <w:sz w:val="22"/>
          <w:szCs w:val="22"/>
        </w:rPr>
        <w:lastRenderedPageBreak/>
        <w:t>у зв’язку з розглядом скарги органом оскарження відповідно до </w:t>
      </w:r>
      <w:hyperlink r:id="rId11" w:anchor="n1284" w:tgtFrame="_blank" w:history="1">
        <w:r w:rsidRPr="000117EF">
          <w:rPr>
            <w:rStyle w:val="a8"/>
            <w:sz w:val="22"/>
            <w:szCs w:val="22"/>
          </w:rPr>
          <w:t>статті 18</w:t>
        </w:r>
      </w:hyperlink>
      <w:r w:rsidRPr="000117EF">
        <w:rPr>
          <w:sz w:val="22"/>
          <w:szCs w:val="22"/>
        </w:rPr>
        <w:t> Закону з урахуванням цих особливостей;</w:t>
      </w:r>
    </w:p>
    <w:p w:rsidR="000117EF" w:rsidRPr="000117EF" w:rsidRDefault="000117EF" w:rsidP="000117EF">
      <w:pPr>
        <w:pStyle w:val="rvps2"/>
        <w:shd w:val="clear" w:color="auto" w:fill="FFFFFF"/>
        <w:spacing w:before="0" w:beforeAutospacing="0" w:after="0" w:afterAutospacing="0"/>
        <w:ind w:right="-1" w:firstLine="709"/>
        <w:jc w:val="both"/>
        <w:rPr>
          <w:sz w:val="22"/>
          <w:szCs w:val="22"/>
        </w:rPr>
      </w:pPr>
      <w:bookmarkStart w:id="61" w:name="n99"/>
      <w:bookmarkEnd w:id="61"/>
      <w:r w:rsidRPr="000117EF">
        <w:rPr>
          <w:sz w:val="22"/>
          <w:szCs w:val="22"/>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0117EF" w:rsidRPr="000117EF" w:rsidRDefault="000117EF" w:rsidP="000117EF">
      <w:pPr>
        <w:ind w:right="-1" w:firstLine="709"/>
        <w:jc w:val="both"/>
        <w:rPr>
          <w:bCs/>
          <w:sz w:val="22"/>
          <w:szCs w:val="22"/>
        </w:rPr>
      </w:pPr>
      <w:r w:rsidRPr="000117EF">
        <w:rPr>
          <w:bCs/>
          <w:sz w:val="22"/>
          <w:szCs w:val="22"/>
        </w:rPr>
        <w:t>11.5.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0117EF" w:rsidRPr="000117EF" w:rsidRDefault="000117EF" w:rsidP="000117EF">
      <w:pPr>
        <w:ind w:right="-1" w:firstLine="709"/>
        <w:jc w:val="both"/>
        <w:rPr>
          <w:bCs/>
          <w:sz w:val="22"/>
          <w:szCs w:val="22"/>
        </w:rPr>
      </w:pPr>
      <w:r w:rsidRPr="000117EF">
        <w:rPr>
          <w:bCs/>
          <w:sz w:val="22"/>
          <w:szCs w:val="22"/>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0117EF" w:rsidRPr="000117EF" w:rsidRDefault="000117EF" w:rsidP="000117EF">
      <w:pPr>
        <w:ind w:right="-1" w:firstLine="709"/>
        <w:jc w:val="both"/>
        <w:rPr>
          <w:bCs/>
          <w:sz w:val="22"/>
          <w:szCs w:val="22"/>
        </w:rPr>
      </w:pPr>
      <w:r w:rsidRPr="000117EF">
        <w:rPr>
          <w:bCs/>
          <w:sz w:val="22"/>
          <w:szCs w:val="22"/>
        </w:rPr>
        <w:t>11.7.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0117EF" w:rsidRPr="000117EF" w:rsidRDefault="000117EF" w:rsidP="000117EF">
      <w:pPr>
        <w:ind w:right="-1" w:firstLine="709"/>
        <w:jc w:val="both"/>
        <w:rPr>
          <w:bCs/>
          <w:sz w:val="22"/>
          <w:szCs w:val="22"/>
        </w:rPr>
      </w:pPr>
      <w:r w:rsidRPr="000117EF">
        <w:rPr>
          <w:bCs/>
          <w:sz w:val="22"/>
          <w:szCs w:val="22"/>
        </w:rPr>
        <w:t xml:space="preserve">11.8. Жодна із Сторін не має права передавати свої права та обов’язки по цьому Договору без письмового погодження з іншою Стороною. </w:t>
      </w:r>
    </w:p>
    <w:p w:rsidR="000117EF" w:rsidRPr="000117EF" w:rsidRDefault="000117EF" w:rsidP="000117EF">
      <w:pPr>
        <w:ind w:right="-1" w:firstLine="709"/>
        <w:jc w:val="both"/>
        <w:rPr>
          <w:bCs/>
          <w:sz w:val="22"/>
          <w:szCs w:val="22"/>
        </w:rPr>
      </w:pPr>
      <w:r w:rsidRPr="000117EF">
        <w:rPr>
          <w:bCs/>
          <w:sz w:val="22"/>
          <w:szCs w:val="22"/>
        </w:rPr>
        <w:t>11.9. У випадках, не передбачених цим Договором, Сторони керуються чинним законодавством.</w:t>
      </w:r>
    </w:p>
    <w:p w:rsidR="000117EF" w:rsidRPr="000117EF" w:rsidRDefault="000117EF" w:rsidP="000117EF">
      <w:pPr>
        <w:ind w:right="-1" w:firstLine="709"/>
        <w:jc w:val="both"/>
        <w:rPr>
          <w:bCs/>
          <w:sz w:val="22"/>
          <w:szCs w:val="22"/>
        </w:rPr>
      </w:pPr>
      <w:r w:rsidRPr="000117EF">
        <w:rPr>
          <w:bCs/>
          <w:sz w:val="22"/>
          <w:szCs w:val="22"/>
        </w:rPr>
        <w:t>11.10. Цей Договір укладено у двох примірниках, що мають однакову юридичну силу, по одному для кожної Сторони.</w:t>
      </w:r>
    </w:p>
    <w:p w:rsidR="000117EF" w:rsidRPr="000117EF" w:rsidRDefault="000117EF" w:rsidP="000117EF">
      <w:pPr>
        <w:ind w:right="-1" w:firstLine="709"/>
        <w:jc w:val="both"/>
        <w:rPr>
          <w:sz w:val="22"/>
          <w:szCs w:val="22"/>
        </w:rPr>
      </w:pPr>
      <w:r w:rsidRPr="000117EF">
        <w:rPr>
          <w:sz w:val="22"/>
          <w:szCs w:val="22"/>
        </w:rPr>
        <w:t xml:space="preserve">11.11. Замовник не є платником податку на прибуток. </w:t>
      </w:r>
    </w:p>
    <w:p w:rsidR="000117EF" w:rsidRPr="000117EF" w:rsidRDefault="000117EF" w:rsidP="000117EF">
      <w:pPr>
        <w:ind w:right="-1" w:firstLine="709"/>
        <w:jc w:val="both"/>
        <w:rPr>
          <w:sz w:val="22"/>
          <w:szCs w:val="22"/>
        </w:rPr>
      </w:pPr>
    </w:p>
    <w:p w:rsidR="000117EF" w:rsidRPr="000117EF" w:rsidRDefault="000117EF" w:rsidP="000117EF">
      <w:pPr>
        <w:ind w:left="-567" w:firstLine="851"/>
        <w:jc w:val="center"/>
        <w:textAlignment w:val="baseline"/>
        <w:rPr>
          <w:rFonts w:eastAsia="SimSun"/>
          <w:b/>
          <w:kern w:val="3"/>
          <w:sz w:val="22"/>
          <w:szCs w:val="22"/>
          <w:lang w:eastAsia="zh-CN" w:bidi="hi-IN"/>
        </w:rPr>
      </w:pPr>
      <w:r w:rsidRPr="000117EF">
        <w:rPr>
          <w:rFonts w:eastAsia="SimSun"/>
          <w:b/>
          <w:kern w:val="3"/>
          <w:sz w:val="22"/>
          <w:szCs w:val="22"/>
          <w:lang w:eastAsia="zh-CN" w:bidi="hi-IN"/>
        </w:rPr>
        <w:t>ХІІ. Антикорупційне застереження</w:t>
      </w:r>
    </w:p>
    <w:p w:rsidR="000117EF" w:rsidRPr="000117EF" w:rsidRDefault="000117EF" w:rsidP="000117EF">
      <w:pPr>
        <w:ind w:firstLine="709"/>
        <w:jc w:val="both"/>
        <w:textAlignment w:val="baseline"/>
        <w:rPr>
          <w:rFonts w:eastAsia="SimSun"/>
          <w:b/>
          <w:kern w:val="3"/>
          <w:sz w:val="22"/>
          <w:szCs w:val="22"/>
          <w:lang w:eastAsia="zh-CN" w:bidi="hi-IN"/>
        </w:rPr>
      </w:pPr>
      <w:r w:rsidRPr="000117EF">
        <w:rPr>
          <w:rFonts w:eastAsia="SimSun"/>
          <w:bCs/>
          <w:kern w:val="3"/>
          <w:sz w:val="22"/>
          <w:szCs w:val="22"/>
          <w:lang w:eastAsia="zh-CN" w:bidi="hi-IN"/>
        </w:rPr>
        <w:t>12.1 Сторони зобов'язуються дотримуватись застосовне антикорупційне законодавство.</w:t>
      </w:r>
    </w:p>
    <w:p w:rsidR="000117EF" w:rsidRPr="000117EF" w:rsidRDefault="000117EF" w:rsidP="000117EF">
      <w:pPr>
        <w:ind w:firstLine="709"/>
        <w:jc w:val="both"/>
        <w:textAlignment w:val="baseline"/>
        <w:rPr>
          <w:rFonts w:eastAsia="SimSun"/>
          <w:bCs/>
          <w:kern w:val="3"/>
          <w:sz w:val="22"/>
          <w:szCs w:val="22"/>
          <w:lang w:eastAsia="zh-CN" w:bidi="hi-IN"/>
        </w:rPr>
      </w:pPr>
      <w:r w:rsidRPr="000117EF">
        <w:rPr>
          <w:rFonts w:eastAsia="SimSun"/>
          <w:bCs/>
          <w:kern w:val="3"/>
          <w:sz w:val="22"/>
          <w:szCs w:val="22"/>
          <w:lang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rsidR="000117EF" w:rsidRPr="000117EF" w:rsidRDefault="000117EF" w:rsidP="000117EF">
      <w:pPr>
        <w:ind w:firstLine="709"/>
        <w:jc w:val="both"/>
        <w:textAlignment w:val="baseline"/>
        <w:rPr>
          <w:rFonts w:eastAsia="SimSun"/>
          <w:bCs/>
          <w:kern w:val="3"/>
          <w:sz w:val="22"/>
          <w:szCs w:val="22"/>
          <w:lang w:eastAsia="zh-CN" w:bidi="hi-IN"/>
        </w:rPr>
      </w:pPr>
      <w:r w:rsidRPr="000117EF">
        <w:rPr>
          <w:rFonts w:eastAsia="SimSun"/>
          <w:bCs/>
          <w:kern w:val="3"/>
          <w:sz w:val="22"/>
          <w:szCs w:val="22"/>
          <w:lang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rsidR="000117EF" w:rsidRPr="000117EF" w:rsidRDefault="000117EF" w:rsidP="000117EF">
      <w:pPr>
        <w:ind w:firstLine="709"/>
        <w:jc w:val="both"/>
        <w:rPr>
          <w:bCs/>
          <w:sz w:val="22"/>
          <w:szCs w:val="22"/>
        </w:rPr>
      </w:pPr>
      <w:r w:rsidRPr="000117EF">
        <w:rPr>
          <w:rFonts w:eastAsia="SimSun"/>
          <w:bCs/>
          <w:kern w:val="3"/>
          <w:sz w:val="22"/>
          <w:szCs w:val="22"/>
          <w:lang w:eastAsia="zh-CN" w:bidi="hi-IN"/>
        </w:rPr>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0117EF">
        <w:rPr>
          <w:bCs/>
          <w:sz w:val="22"/>
          <w:szCs w:val="22"/>
        </w:rPr>
        <w:t xml:space="preserve"> У письмовому повідомленні </w:t>
      </w:r>
      <w:r w:rsidRPr="000117EF">
        <w:rPr>
          <w:bCs/>
          <w:iCs/>
          <w:sz w:val="22"/>
          <w:szCs w:val="22"/>
        </w:rPr>
        <w:t>Сторона</w:t>
      </w:r>
      <w:r w:rsidRPr="000117EF">
        <w:rPr>
          <w:bCs/>
          <w:sz w:val="22"/>
          <w:szCs w:val="22"/>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0117EF" w:rsidRPr="000117EF" w:rsidRDefault="000117EF" w:rsidP="000117EF">
      <w:pPr>
        <w:ind w:firstLine="709"/>
        <w:jc w:val="both"/>
        <w:textAlignment w:val="baseline"/>
        <w:rPr>
          <w:rFonts w:eastAsia="SimSun"/>
          <w:bCs/>
          <w:kern w:val="3"/>
          <w:sz w:val="22"/>
          <w:szCs w:val="22"/>
          <w:lang w:eastAsia="zh-CN" w:bidi="hi-IN"/>
        </w:rPr>
      </w:pPr>
      <w:r w:rsidRPr="000117EF">
        <w:rPr>
          <w:rFonts w:eastAsia="SimSun"/>
          <w:bCs/>
          <w:kern w:val="3"/>
          <w:sz w:val="22"/>
          <w:szCs w:val="22"/>
          <w:lang w:eastAsia="zh-CN" w:bidi="hi-IN"/>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rsidR="000117EF" w:rsidRPr="000117EF" w:rsidRDefault="000117EF" w:rsidP="000117EF">
      <w:pPr>
        <w:ind w:firstLine="709"/>
        <w:jc w:val="both"/>
        <w:textAlignment w:val="baseline"/>
        <w:rPr>
          <w:rFonts w:eastAsia="SimSun"/>
          <w:bCs/>
          <w:kern w:val="3"/>
          <w:sz w:val="22"/>
          <w:szCs w:val="22"/>
          <w:lang w:eastAsia="zh-CN" w:bidi="hi-IN"/>
        </w:rPr>
      </w:pPr>
      <w:r w:rsidRPr="000117EF">
        <w:rPr>
          <w:bCs/>
          <w:sz w:val="22"/>
          <w:szCs w:val="22"/>
        </w:rPr>
        <w:lastRenderedPageBreak/>
        <w:t xml:space="preserve">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0117EF" w:rsidRPr="000117EF" w:rsidRDefault="000117EF" w:rsidP="000117EF">
      <w:pPr>
        <w:ind w:firstLine="709"/>
        <w:jc w:val="both"/>
        <w:rPr>
          <w:bCs/>
          <w:sz w:val="22"/>
          <w:szCs w:val="22"/>
        </w:rPr>
      </w:pPr>
      <w:r w:rsidRPr="000117EF">
        <w:rPr>
          <w:bCs/>
          <w:sz w:val="22"/>
          <w:szCs w:val="22"/>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0117EF" w:rsidRPr="000117EF" w:rsidRDefault="000117EF" w:rsidP="000117EF">
      <w:pPr>
        <w:ind w:left="3624"/>
        <w:jc w:val="both"/>
        <w:rPr>
          <w:b/>
          <w:sz w:val="22"/>
          <w:szCs w:val="22"/>
        </w:rPr>
      </w:pPr>
    </w:p>
    <w:p w:rsidR="000117EF" w:rsidRPr="000117EF" w:rsidRDefault="000117EF" w:rsidP="000117EF">
      <w:pPr>
        <w:ind w:left="3624"/>
        <w:jc w:val="both"/>
        <w:rPr>
          <w:b/>
          <w:sz w:val="22"/>
          <w:szCs w:val="22"/>
        </w:rPr>
      </w:pPr>
      <w:r w:rsidRPr="000117EF">
        <w:rPr>
          <w:b/>
          <w:sz w:val="22"/>
          <w:szCs w:val="22"/>
        </w:rPr>
        <w:t>ХІІІ. Додатки до Договору</w:t>
      </w:r>
    </w:p>
    <w:p w:rsidR="000117EF" w:rsidRPr="000117EF" w:rsidRDefault="000117EF" w:rsidP="000117EF">
      <w:pPr>
        <w:ind w:firstLine="709"/>
        <w:jc w:val="both"/>
        <w:rPr>
          <w:sz w:val="22"/>
          <w:szCs w:val="22"/>
        </w:rPr>
      </w:pPr>
      <w:r w:rsidRPr="000117EF">
        <w:rPr>
          <w:sz w:val="22"/>
          <w:szCs w:val="22"/>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0117EF" w:rsidRPr="000117EF" w:rsidRDefault="000117EF" w:rsidP="000117EF">
      <w:pPr>
        <w:ind w:firstLine="709"/>
        <w:jc w:val="both"/>
        <w:rPr>
          <w:sz w:val="22"/>
          <w:szCs w:val="22"/>
        </w:rPr>
      </w:pPr>
      <w:r w:rsidRPr="000117EF">
        <w:rPr>
          <w:sz w:val="22"/>
          <w:szCs w:val="22"/>
        </w:rPr>
        <w:t>13.2. Невід’ємною частиною цього Договору є:</w:t>
      </w:r>
    </w:p>
    <w:p w:rsidR="000117EF" w:rsidRPr="000117EF" w:rsidRDefault="000117EF" w:rsidP="000117EF">
      <w:pPr>
        <w:numPr>
          <w:ilvl w:val="0"/>
          <w:numId w:val="4"/>
        </w:numPr>
        <w:suppressAutoHyphens/>
        <w:ind w:left="0" w:firstLine="709"/>
        <w:jc w:val="both"/>
        <w:rPr>
          <w:sz w:val="22"/>
          <w:szCs w:val="22"/>
        </w:rPr>
      </w:pPr>
      <w:r w:rsidRPr="000117EF">
        <w:rPr>
          <w:sz w:val="22"/>
          <w:szCs w:val="22"/>
        </w:rPr>
        <w:t>Специфікація (Додаток 1).</w:t>
      </w:r>
    </w:p>
    <w:p w:rsidR="000117EF" w:rsidRPr="000117EF" w:rsidRDefault="000117EF" w:rsidP="000117EF">
      <w:pPr>
        <w:pStyle w:val="rvps2"/>
        <w:shd w:val="clear" w:color="auto" w:fill="FFFFFF"/>
        <w:spacing w:before="0" w:beforeAutospacing="0" w:after="0" w:afterAutospacing="0"/>
        <w:ind w:firstLine="450"/>
        <w:jc w:val="both"/>
        <w:rPr>
          <w:sz w:val="22"/>
          <w:szCs w:val="22"/>
        </w:rPr>
      </w:pP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sz w:val="22"/>
          <w:szCs w:val="22"/>
        </w:rPr>
      </w:pPr>
      <w:r w:rsidRPr="000117EF">
        <w:rPr>
          <w:b/>
          <w:sz w:val="22"/>
          <w:szCs w:val="22"/>
        </w:rPr>
        <w:t>X</w:t>
      </w:r>
      <w:r w:rsidRPr="000117EF">
        <w:rPr>
          <w:b/>
          <w:sz w:val="22"/>
          <w:szCs w:val="22"/>
          <w:lang w:val="en-US"/>
        </w:rPr>
        <w:t>IV</w:t>
      </w:r>
      <w:r w:rsidRPr="000117EF">
        <w:rPr>
          <w:b/>
          <w:sz w:val="22"/>
          <w:szCs w:val="22"/>
        </w:rPr>
        <w:t>. Місцезнаходження та банківські реквізити сторін</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sz w:val="22"/>
          <w:szCs w:val="22"/>
        </w:rPr>
      </w:pP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2"/>
          <w:szCs w:val="22"/>
        </w:rPr>
      </w:pPr>
      <w:r w:rsidRPr="000117EF">
        <w:rPr>
          <w:b/>
          <w:sz w:val="22"/>
          <w:szCs w:val="22"/>
        </w:rPr>
        <w:t>ЗАМОВНИК</w:t>
      </w:r>
      <w:r w:rsidRPr="000117EF">
        <w:rPr>
          <w:b/>
          <w:sz w:val="22"/>
          <w:szCs w:val="22"/>
        </w:rPr>
        <w:tab/>
      </w:r>
      <w:r w:rsidRPr="000117EF">
        <w:rPr>
          <w:b/>
          <w:sz w:val="22"/>
          <w:szCs w:val="22"/>
        </w:rPr>
        <w:tab/>
      </w:r>
      <w:r w:rsidRPr="000117EF">
        <w:rPr>
          <w:b/>
          <w:sz w:val="22"/>
          <w:szCs w:val="22"/>
        </w:rPr>
        <w:tab/>
      </w:r>
      <w:r w:rsidRPr="000117EF">
        <w:rPr>
          <w:b/>
          <w:sz w:val="22"/>
          <w:szCs w:val="22"/>
        </w:rPr>
        <w:tab/>
      </w:r>
      <w:r w:rsidRPr="000117EF">
        <w:rPr>
          <w:b/>
          <w:sz w:val="22"/>
          <w:szCs w:val="22"/>
        </w:rPr>
        <w:tab/>
        <w:t>ВИКОНАВЕЦЬ</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2"/>
          <w:szCs w:val="22"/>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4690"/>
      </w:tblGrid>
      <w:tr w:rsidR="000117EF" w:rsidRPr="000117EF" w:rsidTr="0098557B">
        <w:trPr>
          <w:trHeight w:val="3489"/>
        </w:trPr>
        <w:tc>
          <w:tcPr>
            <w:tcW w:w="5468" w:type="dxa"/>
            <w:shd w:val="clear" w:color="auto" w:fill="auto"/>
          </w:tcPr>
          <w:p w:rsidR="000117EF" w:rsidRPr="000117EF" w:rsidRDefault="000117EF" w:rsidP="000117EF">
            <w:pPr>
              <w:jc w:val="both"/>
              <w:rPr>
                <w:b/>
                <w:sz w:val="22"/>
                <w:szCs w:val="22"/>
              </w:rPr>
            </w:pPr>
            <w:r w:rsidRPr="000117EF">
              <w:rPr>
                <w:b/>
                <w:sz w:val="22"/>
                <w:szCs w:val="22"/>
              </w:rPr>
              <w:t>Державна установа «Інститут нейрохірургії ім. акад. А.П.Ромоданова Національної академії медичних наук України»</w:t>
            </w:r>
          </w:p>
          <w:p w:rsidR="000117EF" w:rsidRPr="000117EF" w:rsidRDefault="000117EF" w:rsidP="000117EF">
            <w:pPr>
              <w:jc w:val="both"/>
              <w:rPr>
                <w:b/>
                <w:sz w:val="22"/>
                <w:szCs w:val="22"/>
                <w:lang w:eastAsia="en-US"/>
              </w:rPr>
            </w:pPr>
            <w:r w:rsidRPr="000117EF">
              <w:rPr>
                <w:b/>
                <w:bCs/>
                <w:sz w:val="22"/>
                <w:szCs w:val="22"/>
              </w:rPr>
              <w:t>I</w:t>
            </w:r>
            <w:r w:rsidRPr="000117EF">
              <w:rPr>
                <w:b/>
                <w:sz w:val="22"/>
                <w:szCs w:val="22"/>
              </w:rPr>
              <w:t xml:space="preserve">BAN № </w:t>
            </w:r>
            <w:r w:rsidRPr="000117EF">
              <w:rPr>
                <w:b/>
                <w:spacing w:val="-4"/>
                <w:sz w:val="22"/>
                <w:szCs w:val="22"/>
              </w:rPr>
              <w:t>UA408201720343140005000009755</w:t>
            </w:r>
          </w:p>
          <w:p w:rsidR="000117EF" w:rsidRPr="000117EF" w:rsidRDefault="000117EF" w:rsidP="000117EF">
            <w:pPr>
              <w:pStyle w:val="ac"/>
              <w:ind w:left="709" w:hanging="709"/>
              <w:rPr>
                <w:rFonts w:ascii="Times New Roman" w:hAnsi="Times New Roman" w:cs="Times New Roman"/>
                <w:b/>
              </w:rPr>
            </w:pPr>
            <w:r w:rsidRPr="000117EF">
              <w:rPr>
                <w:rFonts w:ascii="Times New Roman" w:hAnsi="Times New Roman" w:cs="Times New Roman"/>
                <w:b/>
                <w:bCs/>
              </w:rPr>
              <w:t>I</w:t>
            </w:r>
            <w:r w:rsidRPr="000117EF">
              <w:rPr>
                <w:rFonts w:ascii="Times New Roman" w:hAnsi="Times New Roman" w:cs="Times New Roman"/>
                <w:b/>
              </w:rPr>
              <w:t>BAN №</w:t>
            </w:r>
            <w:r w:rsidRPr="000117EF">
              <w:rPr>
                <w:rFonts w:ascii="Times New Roman" w:hAnsi="Times New Roman" w:cs="Times New Roman"/>
              </w:rPr>
              <w:t xml:space="preserve"> </w:t>
            </w:r>
            <w:r w:rsidRPr="000117EF">
              <w:rPr>
                <w:rFonts w:ascii="Times New Roman" w:hAnsi="Times New Roman" w:cs="Times New Roman"/>
                <w:b/>
              </w:rPr>
              <w:t>UA568201720343131005200009755</w:t>
            </w:r>
          </w:p>
          <w:p w:rsidR="000117EF" w:rsidRPr="000117EF" w:rsidRDefault="000117EF" w:rsidP="000117EF">
            <w:pPr>
              <w:pStyle w:val="ac"/>
              <w:ind w:left="34" w:hanging="34"/>
              <w:rPr>
                <w:rFonts w:ascii="Times New Roman" w:hAnsi="Times New Roman" w:cs="Times New Roman"/>
              </w:rPr>
            </w:pPr>
            <w:r w:rsidRPr="000117EF">
              <w:rPr>
                <w:rFonts w:ascii="Times New Roman" w:hAnsi="Times New Roman" w:cs="Times New Roman"/>
                <w:b/>
                <w:bCs/>
              </w:rPr>
              <w:t>I</w:t>
            </w:r>
            <w:r w:rsidRPr="000117EF">
              <w:rPr>
                <w:rFonts w:ascii="Times New Roman" w:hAnsi="Times New Roman" w:cs="Times New Roman"/>
                <w:b/>
              </w:rPr>
              <w:t>BAN № UA838201720343141005300009755</w:t>
            </w:r>
          </w:p>
          <w:p w:rsidR="000117EF" w:rsidRPr="000117EF" w:rsidRDefault="000117EF" w:rsidP="000117EF">
            <w:pPr>
              <w:jc w:val="both"/>
              <w:rPr>
                <w:sz w:val="22"/>
                <w:szCs w:val="22"/>
              </w:rPr>
            </w:pPr>
            <w:r w:rsidRPr="000117EF">
              <w:rPr>
                <w:sz w:val="22"/>
                <w:szCs w:val="22"/>
              </w:rPr>
              <w:t xml:space="preserve">Держказначейська служба України, м. Київ </w:t>
            </w:r>
          </w:p>
          <w:p w:rsidR="000117EF" w:rsidRPr="000117EF" w:rsidRDefault="000117EF" w:rsidP="000117EF">
            <w:pPr>
              <w:jc w:val="both"/>
              <w:rPr>
                <w:sz w:val="22"/>
                <w:szCs w:val="22"/>
              </w:rPr>
            </w:pPr>
            <w:r w:rsidRPr="000117EF">
              <w:rPr>
                <w:sz w:val="22"/>
                <w:szCs w:val="22"/>
              </w:rPr>
              <w:t>МФО 820172</w:t>
            </w:r>
          </w:p>
          <w:p w:rsidR="000117EF" w:rsidRPr="000117EF" w:rsidRDefault="000117EF" w:rsidP="000117EF">
            <w:pPr>
              <w:jc w:val="both"/>
              <w:rPr>
                <w:sz w:val="22"/>
                <w:szCs w:val="22"/>
              </w:rPr>
            </w:pPr>
            <w:r w:rsidRPr="000117EF">
              <w:rPr>
                <w:sz w:val="22"/>
                <w:szCs w:val="22"/>
              </w:rPr>
              <w:t>ЄДРПОУ 02011930</w:t>
            </w:r>
          </w:p>
          <w:p w:rsidR="000117EF" w:rsidRPr="000117EF" w:rsidRDefault="000117EF" w:rsidP="000117EF">
            <w:pPr>
              <w:jc w:val="both"/>
              <w:rPr>
                <w:sz w:val="22"/>
                <w:szCs w:val="22"/>
              </w:rPr>
            </w:pPr>
            <w:r w:rsidRPr="000117EF">
              <w:rPr>
                <w:sz w:val="22"/>
                <w:szCs w:val="22"/>
              </w:rPr>
              <w:t>04050, м.Київ, вул.Платона Майбороди,32</w:t>
            </w:r>
          </w:p>
          <w:p w:rsidR="000117EF" w:rsidRPr="000117EF" w:rsidRDefault="000117EF" w:rsidP="000117EF">
            <w:pPr>
              <w:jc w:val="both"/>
              <w:rPr>
                <w:sz w:val="22"/>
                <w:szCs w:val="22"/>
              </w:rPr>
            </w:pPr>
            <w:r w:rsidRPr="000117EF">
              <w:rPr>
                <w:sz w:val="22"/>
                <w:szCs w:val="22"/>
              </w:rPr>
              <w:t>т. +38 044 4833682</w:t>
            </w:r>
          </w:p>
          <w:p w:rsidR="000117EF" w:rsidRPr="000117EF" w:rsidRDefault="000117EF" w:rsidP="000117EF">
            <w:pPr>
              <w:jc w:val="both"/>
              <w:rPr>
                <w:sz w:val="22"/>
                <w:szCs w:val="22"/>
              </w:rPr>
            </w:pPr>
            <w:r w:rsidRPr="000117EF">
              <w:rPr>
                <w:sz w:val="22"/>
                <w:szCs w:val="22"/>
              </w:rPr>
              <w:t>_________________________________</w:t>
            </w:r>
          </w:p>
          <w:p w:rsidR="000117EF" w:rsidRPr="000117EF" w:rsidRDefault="000117EF" w:rsidP="000117EF">
            <w:pPr>
              <w:jc w:val="both"/>
              <w:rPr>
                <w:sz w:val="22"/>
                <w:szCs w:val="22"/>
              </w:rPr>
            </w:pPr>
            <w:r w:rsidRPr="000117EF">
              <w:rPr>
                <w:sz w:val="22"/>
                <w:szCs w:val="22"/>
              </w:rPr>
              <w:t>_______________________________________</w:t>
            </w:r>
          </w:p>
          <w:p w:rsidR="000117EF" w:rsidRPr="000117EF" w:rsidRDefault="000117EF" w:rsidP="000117EF">
            <w:pPr>
              <w:rPr>
                <w:b/>
                <w:bCs/>
                <w:sz w:val="22"/>
                <w:szCs w:val="22"/>
              </w:rPr>
            </w:pPr>
          </w:p>
        </w:tc>
        <w:tc>
          <w:tcPr>
            <w:tcW w:w="4690" w:type="dxa"/>
            <w:shd w:val="clear" w:color="auto" w:fill="auto"/>
          </w:tcPr>
          <w:p w:rsidR="000117EF" w:rsidRPr="000117EF" w:rsidRDefault="000117EF" w:rsidP="000117EF">
            <w:pPr>
              <w:rPr>
                <w:b/>
                <w:bCs/>
                <w:sz w:val="22"/>
                <w:szCs w:val="22"/>
              </w:rPr>
            </w:pPr>
          </w:p>
        </w:tc>
      </w:tr>
    </w:tbl>
    <w:p w:rsidR="000117EF" w:rsidRPr="000117EF" w:rsidRDefault="000117EF" w:rsidP="000117EF">
      <w:pPr>
        <w:ind w:left="120"/>
        <w:rPr>
          <w:sz w:val="22"/>
          <w:szCs w:val="22"/>
        </w:rPr>
      </w:pPr>
    </w:p>
    <w:p w:rsidR="000117EF" w:rsidRPr="000117EF" w:rsidRDefault="000117EF" w:rsidP="000117EF">
      <w:pPr>
        <w:ind w:left="120"/>
        <w:rPr>
          <w:sz w:val="22"/>
          <w:szCs w:val="22"/>
        </w:rPr>
      </w:pPr>
    </w:p>
    <w:p w:rsidR="000117EF" w:rsidRPr="000117EF" w:rsidRDefault="000117EF" w:rsidP="000117EF">
      <w:pPr>
        <w:jc w:val="right"/>
        <w:rPr>
          <w:b/>
          <w:sz w:val="22"/>
          <w:szCs w:val="22"/>
        </w:rPr>
      </w:pPr>
      <w:r w:rsidRPr="000117EF">
        <w:rPr>
          <w:b/>
          <w:sz w:val="22"/>
          <w:szCs w:val="22"/>
        </w:rPr>
        <w:br w:type="page"/>
      </w:r>
      <w:r w:rsidRPr="000117EF">
        <w:rPr>
          <w:b/>
          <w:sz w:val="22"/>
          <w:szCs w:val="22"/>
        </w:rPr>
        <w:lastRenderedPageBreak/>
        <w:t xml:space="preserve">Додаток № 1 </w:t>
      </w:r>
    </w:p>
    <w:p w:rsidR="000117EF" w:rsidRPr="000117EF" w:rsidRDefault="000117EF" w:rsidP="000117EF">
      <w:pPr>
        <w:jc w:val="right"/>
        <w:rPr>
          <w:b/>
          <w:sz w:val="22"/>
          <w:szCs w:val="22"/>
        </w:rPr>
      </w:pPr>
    </w:p>
    <w:p w:rsidR="000117EF" w:rsidRPr="000117EF" w:rsidRDefault="000117EF" w:rsidP="000117EF">
      <w:pPr>
        <w:jc w:val="right"/>
        <w:rPr>
          <w:b/>
          <w:sz w:val="22"/>
          <w:szCs w:val="22"/>
        </w:rPr>
      </w:pPr>
    </w:p>
    <w:p w:rsidR="000117EF" w:rsidRPr="000117EF" w:rsidRDefault="000117EF" w:rsidP="000117EF">
      <w:pPr>
        <w:jc w:val="center"/>
        <w:rPr>
          <w:b/>
          <w:sz w:val="22"/>
          <w:szCs w:val="22"/>
        </w:rPr>
      </w:pPr>
      <w:r w:rsidRPr="000117EF">
        <w:rPr>
          <w:b/>
          <w:sz w:val="22"/>
          <w:szCs w:val="22"/>
        </w:rPr>
        <w:t>Специфікація/ Калькуляція (перелік) послуг</w:t>
      </w:r>
    </w:p>
    <w:p w:rsidR="000117EF" w:rsidRPr="000117EF" w:rsidRDefault="000117EF" w:rsidP="000117EF">
      <w:pPr>
        <w:jc w:val="center"/>
        <w:rPr>
          <w:b/>
          <w:sz w:val="22"/>
          <w:szCs w:val="22"/>
        </w:rPr>
      </w:pPr>
    </w:p>
    <w:p w:rsidR="000117EF" w:rsidRPr="000117EF" w:rsidRDefault="000117EF" w:rsidP="000117EF">
      <w:pPr>
        <w:jc w:val="center"/>
        <w:rPr>
          <w:b/>
          <w:sz w:val="22"/>
          <w:szCs w:val="22"/>
        </w:rPr>
      </w:pPr>
    </w:p>
    <w:p w:rsidR="000117EF" w:rsidRPr="000117EF" w:rsidRDefault="000117EF" w:rsidP="000117EF">
      <w:pPr>
        <w:jc w:val="center"/>
        <w:rPr>
          <w:b/>
          <w:sz w:val="22"/>
          <w:szCs w:val="22"/>
        </w:rPr>
      </w:pPr>
      <w:r w:rsidRPr="000117EF">
        <w:rPr>
          <w:b/>
          <w:sz w:val="22"/>
          <w:szCs w:val="22"/>
        </w:rPr>
        <w:t>до Договору №  _______- від « _____» _______________ 2023 року.</w:t>
      </w:r>
    </w:p>
    <w:p w:rsidR="000117EF" w:rsidRPr="000117EF" w:rsidRDefault="000117EF" w:rsidP="000117EF">
      <w:pPr>
        <w:jc w:val="center"/>
        <w:rPr>
          <w:b/>
          <w:sz w:val="22"/>
          <w:szCs w:val="22"/>
        </w:rPr>
      </w:pPr>
    </w:p>
    <w:p w:rsidR="000117EF" w:rsidRPr="000117EF" w:rsidRDefault="000117EF" w:rsidP="000117EF">
      <w:pPr>
        <w:jc w:val="both"/>
        <w:rPr>
          <w:b/>
          <w:sz w:val="22"/>
          <w:szCs w:val="2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2226"/>
        <w:gridCol w:w="1460"/>
      </w:tblGrid>
      <w:tr w:rsidR="000117EF" w:rsidRPr="000117EF" w:rsidTr="0098557B">
        <w:trPr>
          <w:trHeight w:val="20"/>
        </w:trPr>
        <w:tc>
          <w:tcPr>
            <w:tcW w:w="568" w:type="dxa"/>
            <w:shd w:val="clear" w:color="auto" w:fill="auto"/>
            <w:vAlign w:val="center"/>
          </w:tcPr>
          <w:p w:rsidR="000117EF" w:rsidRPr="000117EF" w:rsidRDefault="000117EF" w:rsidP="000117EF">
            <w:pPr>
              <w:jc w:val="center"/>
              <w:rPr>
                <w:b/>
                <w:sz w:val="22"/>
                <w:szCs w:val="22"/>
              </w:rPr>
            </w:pPr>
            <w:r w:rsidRPr="000117EF">
              <w:rPr>
                <w:b/>
                <w:sz w:val="22"/>
                <w:szCs w:val="22"/>
              </w:rPr>
              <w:t>№</w:t>
            </w:r>
          </w:p>
          <w:p w:rsidR="000117EF" w:rsidRPr="000117EF" w:rsidRDefault="000117EF" w:rsidP="000117EF">
            <w:pPr>
              <w:jc w:val="center"/>
              <w:rPr>
                <w:b/>
                <w:sz w:val="22"/>
                <w:szCs w:val="22"/>
              </w:rPr>
            </w:pPr>
            <w:r w:rsidRPr="000117EF">
              <w:rPr>
                <w:b/>
                <w:sz w:val="22"/>
                <w:szCs w:val="22"/>
              </w:rPr>
              <w:t>з/п</w:t>
            </w:r>
          </w:p>
        </w:tc>
        <w:tc>
          <w:tcPr>
            <w:tcW w:w="6662" w:type="dxa"/>
            <w:shd w:val="clear" w:color="auto" w:fill="auto"/>
            <w:vAlign w:val="center"/>
          </w:tcPr>
          <w:p w:rsidR="000117EF" w:rsidRPr="000117EF" w:rsidRDefault="000117EF" w:rsidP="000117EF">
            <w:pPr>
              <w:jc w:val="center"/>
              <w:rPr>
                <w:b/>
                <w:sz w:val="22"/>
                <w:szCs w:val="22"/>
              </w:rPr>
            </w:pPr>
            <w:r w:rsidRPr="000117EF">
              <w:rPr>
                <w:b/>
                <w:sz w:val="22"/>
                <w:szCs w:val="22"/>
              </w:rPr>
              <w:t>Найменування обладнання</w:t>
            </w:r>
          </w:p>
        </w:tc>
        <w:tc>
          <w:tcPr>
            <w:tcW w:w="2226" w:type="dxa"/>
            <w:shd w:val="clear" w:color="auto" w:fill="auto"/>
            <w:vAlign w:val="center"/>
          </w:tcPr>
          <w:p w:rsidR="000117EF" w:rsidRPr="000117EF" w:rsidRDefault="000117EF" w:rsidP="000117EF">
            <w:pPr>
              <w:jc w:val="center"/>
              <w:rPr>
                <w:b/>
                <w:sz w:val="22"/>
                <w:szCs w:val="22"/>
              </w:rPr>
            </w:pPr>
            <w:r w:rsidRPr="000117EF">
              <w:rPr>
                <w:b/>
                <w:sz w:val="22"/>
                <w:szCs w:val="22"/>
              </w:rPr>
              <w:t>Серійний номер</w:t>
            </w:r>
          </w:p>
        </w:tc>
        <w:tc>
          <w:tcPr>
            <w:tcW w:w="1460" w:type="dxa"/>
            <w:shd w:val="clear" w:color="auto" w:fill="auto"/>
            <w:vAlign w:val="center"/>
          </w:tcPr>
          <w:p w:rsidR="000117EF" w:rsidRPr="000117EF" w:rsidRDefault="000117EF" w:rsidP="000117EF">
            <w:pPr>
              <w:jc w:val="center"/>
              <w:rPr>
                <w:b/>
                <w:sz w:val="22"/>
                <w:szCs w:val="22"/>
              </w:rPr>
            </w:pPr>
            <w:r w:rsidRPr="000117EF">
              <w:rPr>
                <w:b/>
                <w:sz w:val="22"/>
                <w:szCs w:val="22"/>
              </w:rPr>
              <w:t>Кількість шт.</w:t>
            </w:r>
          </w:p>
        </w:tc>
      </w:tr>
      <w:tr w:rsidR="000117EF" w:rsidRPr="000117EF" w:rsidTr="0098557B">
        <w:trPr>
          <w:trHeight w:val="20"/>
        </w:trPr>
        <w:tc>
          <w:tcPr>
            <w:tcW w:w="568" w:type="dxa"/>
            <w:shd w:val="clear" w:color="auto" w:fill="auto"/>
            <w:vAlign w:val="center"/>
          </w:tcPr>
          <w:p w:rsidR="000117EF" w:rsidRPr="000117EF" w:rsidRDefault="000117EF" w:rsidP="000117EF">
            <w:pPr>
              <w:jc w:val="both"/>
              <w:rPr>
                <w:b/>
                <w:sz w:val="22"/>
                <w:szCs w:val="22"/>
              </w:rPr>
            </w:pPr>
            <w:r w:rsidRPr="000117EF">
              <w:rPr>
                <w:b/>
                <w:sz w:val="22"/>
                <w:szCs w:val="22"/>
              </w:rPr>
              <w:t>1</w:t>
            </w:r>
          </w:p>
        </w:tc>
        <w:tc>
          <w:tcPr>
            <w:tcW w:w="6662" w:type="dxa"/>
            <w:shd w:val="clear" w:color="auto" w:fill="auto"/>
            <w:vAlign w:val="center"/>
          </w:tcPr>
          <w:p w:rsidR="000117EF" w:rsidRPr="000117EF" w:rsidRDefault="000117EF" w:rsidP="000117EF">
            <w:pPr>
              <w:rPr>
                <w:b/>
                <w:sz w:val="22"/>
                <w:szCs w:val="22"/>
              </w:rPr>
            </w:pPr>
          </w:p>
        </w:tc>
        <w:tc>
          <w:tcPr>
            <w:tcW w:w="2226" w:type="dxa"/>
            <w:shd w:val="clear" w:color="auto" w:fill="auto"/>
          </w:tcPr>
          <w:p w:rsidR="000117EF" w:rsidRPr="000117EF" w:rsidRDefault="000117EF" w:rsidP="000117EF">
            <w:pPr>
              <w:jc w:val="center"/>
              <w:rPr>
                <w:b/>
                <w:sz w:val="22"/>
                <w:szCs w:val="22"/>
              </w:rPr>
            </w:pPr>
          </w:p>
        </w:tc>
        <w:tc>
          <w:tcPr>
            <w:tcW w:w="1460" w:type="dxa"/>
            <w:shd w:val="clear" w:color="auto" w:fill="auto"/>
            <w:vAlign w:val="center"/>
          </w:tcPr>
          <w:p w:rsidR="000117EF" w:rsidRPr="000117EF" w:rsidRDefault="000117EF" w:rsidP="000117EF">
            <w:pPr>
              <w:jc w:val="center"/>
              <w:rPr>
                <w:b/>
                <w:sz w:val="22"/>
                <w:szCs w:val="22"/>
              </w:rPr>
            </w:pPr>
          </w:p>
        </w:tc>
      </w:tr>
      <w:tr w:rsidR="000117EF" w:rsidRPr="000117EF" w:rsidTr="0098557B">
        <w:trPr>
          <w:trHeight w:val="20"/>
        </w:trPr>
        <w:tc>
          <w:tcPr>
            <w:tcW w:w="568" w:type="dxa"/>
            <w:shd w:val="clear" w:color="auto" w:fill="auto"/>
            <w:vAlign w:val="center"/>
          </w:tcPr>
          <w:p w:rsidR="000117EF" w:rsidRPr="000117EF" w:rsidRDefault="000117EF" w:rsidP="000117EF">
            <w:pPr>
              <w:jc w:val="both"/>
              <w:rPr>
                <w:b/>
                <w:sz w:val="22"/>
                <w:szCs w:val="22"/>
              </w:rPr>
            </w:pPr>
            <w:r w:rsidRPr="000117EF">
              <w:rPr>
                <w:b/>
                <w:sz w:val="22"/>
                <w:szCs w:val="22"/>
              </w:rPr>
              <w:t>2</w:t>
            </w:r>
          </w:p>
        </w:tc>
        <w:tc>
          <w:tcPr>
            <w:tcW w:w="6662" w:type="dxa"/>
            <w:shd w:val="clear" w:color="auto" w:fill="auto"/>
            <w:vAlign w:val="center"/>
          </w:tcPr>
          <w:p w:rsidR="000117EF" w:rsidRPr="000117EF" w:rsidRDefault="000117EF" w:rsidP="000117EF">
            <w:pPr>
              <w:rPr>
                <w:b/>
                <w:bCs/>
                <w:sz w:val="22"/>
                <w:szCs w:val="22"/>
              </w:rPr>
            </w:pPr>
          </w:p>
        </w:tc>
        <w:tc>
          <w:tcPr>
            <w:tcW w:w="2226" w:type="dxa"/>
            <w:shd w:val="clear" w:color="auto" w:fill="auto"/>
          </w:tcPr>
          <w:p w:rsidR="000117EF" w:rsidRPr="000117EF" w:rsidRDefault="000117EF" w:rsidP="000117EF">
            <w:pPr>
              <w:jc w:val="center"/>
              <w:rPr>
                <w:b/>
                <w:bCs/>
                <w:sz w:val="22"/>
                <w:szCs w:val="22"/>
              </w:rPr>
            </w:pPr>
          </w:p>
        </w:tc>
        <w:tc>
          <w:tcPr>
            <w:tcW w:w="1460" w:type="dxa"/>
            <w:shd w:val="clear" w:color="auto" w:fill="auto"/>
            <w:vAlign w:val="center"/>
          </w:tcPr>
          <w:p w:rsidR="000117EF" w:rsidRPr="000117EF" w:rsidRDefault="000117EF" w:rsidP="000117EF">
            <w:pPr>
              <w:jc w:val="center"/>
              <w:rPr>
                <w:b/>
                <w:sz w:val="22"/>
                <w:szCs w:val="22"/>
              </w:rPr>
            </w:pPr>
          </w:p>
        </w:tc>
      </w:tr>
      <w:tr w:rsidR="000117EF" w:rsidRPr="000117EF" w:rsidTr="0098557B">
        <w:trPr>
          <w:trHeight w:val="20"/>
        </w:trPr>
        <w:tc>
          <w:tcPr>
            <w:tcW w:w="568" w:type="dxa"/>
            <w:shd w:val="clear" w:color="auto" w:fill="auto"/>
            <w:vAlign w:val="center"/>
          </w:tcPr>
          <w:p w:rsidR="000117EF" w:rsidRPr="000117EF" w:rsidRDefault="000117EF" w:rsidP="000117EF">
            <w:pPr>
              <w:jc w:val="both"/>
              <w:rPr>
                <w:b/>
                <w:sz w:val="22"/>
                <w:szCs w:val="22"/>
              </w:rPr>
            </w:pPr>
          </w:p>
        </w:tc>
        <w:tc>
          <w:tcPr>
            <w:tcW w:w="6662" w:type="dxa"/>
            <w:shd w:val="clear" w:color="auto" w:fill="auto"/>
            <w:vAlign w:val="center"/>
          </w:tcPr>
          <w:p w:rsidR="000117EF" w:rsidRPr="000117EF" w:rsidRDefault="000117EF" w:rsidP="000117EF">
            <w:pPr>
              <w:rPr>
                <w:b/>
                <w:bCs/>
                <w:sz w:val="22"/>
                <w:szCs w:val="22"/>
              </w:rPr>
            </w:pPr>
          </w:p>
        </w:tc>
        <w:tc>
          <w:tcPr>
            <w:tcW w:w="2226" w:type="dxa"/>
            <w:shd w:val="clear" w:color="auto" w:fill="auto"/>
          </w:tcPr>
          <w:p w:rsidR="000117EF" w:rsidRPr="000117EF" w:rsidRDefault="000117EF" w:rsidP="000117EF">
            <w:pPr>
              <w:jc w:val="center"/>
              <w:rPr>
                <w:b/>
                <w:bCs/>
                <w:sz w:val="22"/>
                <w:szCs w:val="22"/>
              </w:rPr>
            </w:pPr>
          </w:p>
        </w:tc>
        <w:tc>
          <w:tcPr>
            <w:tcW w:w="1460" w:type="dxa"/>
            <w:shd w:val="clear" w:color="auto" w:fill="auto"/>
            <w:vAlign w:val="center"/>
          </w:tcPr>
          <w:p w:rsidR="000117EF" w:rsidRPr="000117EF" w:rsidRDefault="000117EF" w:rsidP="000117EF">
            <w:pPr>
              <w:jc w:val="center"/>
              <w:rPr>
                <w:b/>
                <w:sz w:val="22"/>
                <w:szCs w:val="22"/>
              </w:rPr>
            </w:pPr>
          </w:p>
        </w:tc>
      </w:tr>
    </w:tbl>
    <w:p w:rsidR="000117EF" w:rsidRPr="000117EF" w:rsidRDefault="000117EF" w:rsidP="000117EF">
      <w:pPr>
        <w:jc w:val="both"/>
        <w:rPr>
          <w:sz w:val="22"/>
          <w:szCs w:val="22"/>
        </w:rPr>
      </w:pPr>
    </w:p>
    <w:p w:rsidR="000117EF" w:rsidRPr="000117EF" w:rsidRDefault="000117EF" w:rsidP="000117EF">
      <w:pPr>
        <w:jc w:val="both"/>
        <w:rPr>
          <w:sz w:val="22"/>
          <w:szCs w:val="22"/>
        </w:rPr>
      </w:pPr>
    </w:p>
    <w:tbl>
      <w:tblPr>
        <w:tblW w:w="10413" w:type="dxa"/>
        <w:jc w:val="center"/>
        <w:tblLayout w:type="fixed"/>
        <w:tblLook w:val="0000" w:firstRow="0" w:lastRow="0" w:firstColumn="0" w:lastColumn="0" w:noHBand="0" w:noVBand="0"/>
      </w:tblPr>
      <w:tblGrid>
        <w:gridCol w:w="615"/>
        <w:gridCol w:w="5533"/>
        <w:gridCol w:w="1469"/>
        <w:gridCol w:w="1363"/>
        <w:gridCol w:w="1433"/>
      </w:tblGrid>
      <w:tr w:rsidR="000117EF" w:rsidRPr="000117EF" w:rsidTr="0098557B">
        <w:trPr>
          <w:trHeight w:val="345"/>
          <w:jc w:val="center"/>
        </w:trPr>
        <w:tc>
          <w:tcPr>
            <w:tcW w:w="615" w:type="dxa"/>
            <w:tcBorders>
              <w:top w:val="single" w:sz="4" w:space="0" w:color="auto"/>
              <w:left w:val="single" w:sz="4" w:space="0" w:color="auto"/>
              <w:bottom w:val="single" w:sz="4" w:space="0" w:color="auto"/>
              <w:right w:val="nil"/>
            </w:tcBorders>
            <w:shd w:val="clear" w:color="auto" w:fill="FFFFFF"/>
            <w:noWrap/>
          </w:tcPr>
          <w:p w:rsidR="000117EF" w:rsidRPr="000117EF" w:rsidRDefault="000117EF" w:rsidP="000117EF">
            <w:pPr>
              <w:jc w:val="center"/>
              <w:rPr>
                <w:b/>
                <w:bCs/>
                <w:sz w:val="22"/>
                <w:szCs w:val="22"/>
              </w:rPr>
            </w:pPr>
            <w:r w:rsidRPr="000117EF">
              <w:rPr>
                <w:b/>
                <w:bCs/>
                <w:sz w:val="22"/>
                <w:szCs w:val="22"/>
              </w:rPr>
              <w:t>№</w:t>
            </w:r>
          </w:p>
          <w:p w:rsidR="000117EF" w:rsidRPr="000117EF" w:rsidRDefault="000117EF" w:rsidP="000117EF">
            <w:pPr>
              <w:jc w:val="center"/>
              <w:rPr>
                <w:b/>
                <w:bCs/>
                <w:sz w:val="22"/>
                <w:szCs w:val="22"/>
              </w:rPr>
            </w:pPr>
            <w:r w:rsidRPr="000117EF">
              <w:rPr>
                <w:b/>
                <w:bCs/>
                <w:sz w:val="22"/>
                <w:szCs w:val="22"/>
              </w:rPr>
              <w:t>п/п</w:t>
            </w:r>
          </w:p>
        </w:tc>
        <w:tc>
          <w:tcPr>
            <w:tcW w:w="5533" w:type="dxa"/>
            <w:tcBorders>
              <w:top w:val="single" w:sz="4" w:space="0" w:color="auto"/>
              <w:left w:val="single" w:sz="4" w:space="0" w:color="auto"/>
              <w:bottom w:val="single" w:sz="4" w:space="0" w:color="auto"/>
              <w:right w:val="single" w:sz="4" w:space="0" w:color="auto"/>
            </w:tcBorders>
            <w:shd w:val="clear" w:color="auto" w:fill="FFFFFF"/>
            <w:noWrap/>
          </w:tcPr>
          <w:p w:rsidR="000117EF" w:rsidRPr="000117EF" w:rsidRDefault="000117EF" w:rsidP="000117EF">
            <w:pPr>
              <w:jc w:val="center"/>
              <w:rPr>
                <w:b/>
                <w:bCs/>
                <w:sz w:val="22"/>
                <w:szCs w:val="22"/>
              </w:rPr>
            </w:pPr>
            <w:r w:rsidRPr="000117EF">
              <w:rPr>
                <w:b/>
                <w:bCs/>
                <w:sz w:val="22"/>
                <w:szCs w:val="22"/>
              </w:rPr>
              <w:t>Найменування та перелік послуг</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0117EF" w:rsidRPr="000117EF" w:rsidRDefault="000117EF" w:rsidP="000117EF">
            <w:pPr>
              <w:jc w:val="center"/>
              <w:rPr>
                <w:b/>
                <w:bCs/>
                <w:sz w:val="22"/>
                <w:szCs w:val="22"/>
              </w:rPr>
            </w:pPr>
            <w:r w:rsidRPr="000117EF">
              <w:rPr>
                <w:b/>
                <w:bCs/>
                <w:sz w:val="22"/>
                <w:szCs w:val="22"/>
              </w:rPr>
              <w:t>Одиниця виміру та кількість</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117EF" w:rsidRPr="000117EF" w:rsidRDefault="000117EF" w:rsidP="000117EF">
            <w:pPr>
              <w:jc w:val="center"/>
              <w:rPr>
                <w:b/>
                <w:bCs/>
                <w:sz w:val="22"/>
                <w:szCs w:val="22"/>
              </w:rPr>
            </w:pPr>
            <w:r w:rsidRPr="000117EF">
              <w:rPr>
                <w:b/>
                <w:bCs/>
                <w:sz w:val="22"/>
                <w:szCs w:val="22"/>
              </w:rPr>
              <w:t>Ціна послуги з ПДВ</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0117EF" w:rsidRPr="000117EF" w:rsidRDefault="000117EF" w:rsidP="000117EF">
            <w:pPr>
              <w:jc w:val="center"/>
              <w:rPr>
                <w:b/>
                <w:bCs/>
                <w:sz w:val="22"/>
                <w:szCs w:val="22"/>
              </w:rPr>
            </w:pPr>
            <w:r w:rsidRPr="000117EF">
              <w:rPr>
                <w:b/>
                <w:bCs/>
                <w:sz w:val="22"/>
                <w:szCs w:val="22"/>
              </w:rPr>
              <w:t>Сума з ПДВ</w:t>
            </w:r>
          </w:p>
        </w:tc>
      </w:tr>
      <w:tr w:rsidR="000117EF" w:rsidRPr="000117EF" w:rsidTr="0098557B">
        <w:trPr>
          <w:trHeight w:val="282"/>
          <w:jc w:val="center"/>
        </w:trPr>
        <w:tc>
          <w:tcPr>
            <w:tcW w:w="615" w:type="dxa"/>
            <w:tcBorders>
              <w:top w:val="single" w:sz="4" w:space="0" w:color="auto"/>
              <w:left w:val="single" w:sz="4" w:space="0" w:color="auto"/>
              <w:bottom w:val="single" w:sz="4" w:space="0" w:color="auto"/>
              <w:right w:val="nil"/>
            </w:tcBorders>
            <w:shd w:val="clear" w:color="auto" w:fill="auto"/>
            <w:noWrap/>
          </w:tcPr>
          <w:p w:rsidR="000117EF" w:rsidRPr="000117EF" w:rsidRDefault="000117EF" w:rsidP="000117EF">
            <w:pPr>
              <w:jc w:val="both"/>
              <w:rPr>
                <w:b/>
                <w:sz w:val="22"/>
                <w:szCs w:val="22"/>
              </w:rPr>
            </w:pPr>
            <w:r w:rsidRPr="000117EF">
              <w:rPr>
                <w:b/>
                <w:sz w:val="22"/>
                <w:szCs w:val="22"/>
              </w:rPr>
              <w:t>1.</w:t>
            </w:r>
          </w:p>
        </w:tc>
        <w:tc>
          <w:tcPr>
            <w:tcW w:w="5533" w:type="dxa"/>
            <w:tcBorders>
              <w:top w:val="single" w:sz="4" w:space="0" w:color="auto"/>
              <w:left w:val="single" w:sz="4" w:space="0" w:color="auto"/>
              <w:bottom w:val="single" w:sz="4" w:space="0" w:color="auto"/>
              <w:right w:val="single" w:sz="4" w:space="0" w:color="auto"/>
            </w:tcBorders>
            <w:shd w:val="clear" w:color="auto" w:fill="auto"/>
            <w:noWrap/>
          </w:tcPr>
          <w:p w:rsidR="000117EF" w:rsidRPr="000117EF" w:rsidRDefault="000117EF" w:rsidP="000117EF">
            <w:pPr>
              <w:jc w:val="both"/>
              <w:rPr>
                <w:bCs/>
                <w:sz w:val="22"/>
                <w:szCs w:val="22"/>
              </w:rPr>
            </w:pPr>
          </w:p>
        </w:tc>
        <w:tc>
          <w:tcPr>
            <w:tcW w:w="1469"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z w:val="22"/>
                <w:szCs w:val="22"/>
                <w:shd w:val="clear" w:color="auto" w:fill="FFFFFF"/>
              </w:rPr>
            </w:pPr>
            <w:r w:rsidRPr="000117EF">
              <w:rPr>
                <w:sz w:val="22"/>
                <w:szCs w:val="22"/>
                <w:shd w:val="clear" w:color="auto" w:fill="FFFFFF"/>
              </w:rPr>
              <w:t xml:space="preserve">   послуга</w:t>
            </w:r>
          </w:p>
        </w:tc>
        <w:tc>
          <w:tcPr>
            <w:tcW w:w="136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z w:val="22"/>
                <w:szCs w:val="22"/>
                <w:shd w:val="clear" w:color="auto" w:fill="FFFFFF"/>
              </w:rPr>
            </w:pPr>
          </w:p>
        </w:tc>
        <w:tc>
          <w:tcPr>
            <w:tcW w:w="143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z w:val="22"/>
                <w:szCs w:val="22"/>
                <w:shd w:val="clear" w:color="auto" w:fill="FFFFFF"/>
              </w:rPr>
            </w:pPr>
          </w:p>
        </w:tc>
      </w:tr>
      <w:tr w:rsidR="000117EF" w:rsidRPr="000117EF" w:rsidTr="0098557B">
        <w:trPr>
          <w:trHeight w:val="282"/>
          <w:jc w:val="center"/>
        </w:trPr>
        <w:tc>
          <w:tcPr>
            <w:tcW w:w="615" w:type="dxa"/>
            <w:tcBorders>
              <w:top w:val="single" w:sz="4" w:space="0" w:color="auto"/>
              <w:left w:val="single" w:sz="4" w:space="0" w:color="auto"/>
              <w:bottom w:val="single" w:sz="4" w:space="0" w:color="auto"/>
              <w:right w:val="nil"/>
            </w:tcBorders>
            <w:shd w:val="clear" w:color="auto" w:fill="auto"/>
            <w:noWrap/>
          </w:tcPr>
          <w:p w:rsidR="000117EF" w:rsidRPr="000117EF" w:rsidRDefault="000117EF" w:rsidP="000117EF">
            <w:pPr>
              <w:ind w:left="360" w:hanging="360"/>
              <w:jc w:val="both"/>
              <w:rPr>
                <w:sz w:val="22"/>
                <w:szCs w:val="22"/>
              </w:rPr>
            </w:pPr>
            <w:r w:rsidRPr="000117EF">
              <w:rPr>
                <w:sz w:val="22"/>
                <w:szCs w:val="22"/>
              </w:rPr>
              <w:t>1.1.</w:t>
            </w:r>
          </w:p>
        </w:tc>
        <w:tc>
          <w:tcPr>
            <w:tcW w:w="5533" w:type="dxa"/>
            <w:tcBorders>
              <w:top w:val="single" w:sz="4" w:space="0" w:color="auto"/>
              <w:left w:val="single" w:sz="4" w:space="0" w:color="auto"/>
              <w:bottom w:val="single" w:sz="4" w:space="0" w:color="auto"/>
              <w:right w:val="single" w:sz="4" w:space="0" w:color="auto"/>
            </w:tcBorders>
            <w:shd w:val="clear" w:color="auto" w:fill="auto"/>
            <w:noWrap/>
          </w:tcPr>
          <w:p w:rsidR="000117EF" w:rsidRPr="000117EF" w:rsidRDefault="000117EF" w:rsidP="000117EF">
            <w:pPr>
              <w:jc w:val="both"/>
              <w:rPr>
                <w:b/>
                <w:bCs/>
                <w:sz w:val="22"/>
                <w:szCs w:val="22"/>
              </w:rPr>
            </w:pPr>
          </w:p>
        </w:tc>
        <w:tc>
          <w:tcPr>
            <w:tcW w:w="1469"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b/>
                <w:bCs/>
                <w:sz w:val="22"/>
                <w:szCs w:val="22"/>
              </w:rPr>
            </w:pPr>
          </w:p>
        </w:tc>
        <w:tc>
          <w:tcPr>
            <w:tcW w:w="136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b/>
                <w:bCs/>
                <w:sz w:val="22"/>
                <w:szCs w:val="22"/>
              </w:rPr>
            </w:pPr>
          </w:p>
        </w:tc>
        <w:tc>
          <w:tcPr>
            <w:tcW w:w="143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b/>
                <w:bCs/>
                <w:sz w:val="22"/>
                <w:szCs w:val="22"/>
              </w:rPr>
            </w:pPr>
          </w:p>
        </w:tc>
      </w:tr>
      <w:tr w:rsidR="000117EF" w:rsidRPr="000117EF" w:rsidTr="0098557B">
        <w:trPr>
          <w:trHeight w:val="282"/>
          <w:jc w:val="center"/>
        </w:trPr>
        <w:tc>
          <w:tcPr>
            <w:tcW w:w="615" w:type="dxa"/>
            <w:tcBorders>
              <w:top w:val="single" w:sz="4" w:space="0" w:color="auto"/>
              <w:left w:val="single" w:sz="4" w:space="0" w:color="auto"/>
              <w:bottom w:val="single" w:sz="4" w:space="0" w:color="auto"/>
              <w:right w:val="nil"/>
            </w:tcBorders>
            <w:shd w:val="clear" w:color="auto" w:fill="auto"/>
            <w:noWrap/>
          </w:tcPr>
          <w:p w:rsidR="000117EF" w:rsidRPr="000117EF" w:rsidRDefault="000117EF" w:rsidP="000117EF">
            <w:pPr>
              <w:ind w:left="360" w:hanging="324"/>
              <w:jc w:val="both"/>
              <w:rPr>
                <w:sz w:val="22"/>
                <w:szCs w:val="22"/>
              </w:rPr>
            </w:pPr>
            <w:r w:rsidRPr="000117EF">
              <w:rPr>
                <w:sz w:val="22"/>
                <w:szCs w:val="22"/>
              </w:rPr>
              <w:t>1.2.</w:t>
            </w:r>
          </w:p>
        </w:tc>
        <w:tc>
          <w:tcPr>
            <w:tcW w:w="5533" w:type="dxa"/>
            <w:tcBorders>
              <w:top w:val="single" w:sz="4" w:space="0" w:color="auto"/>
              <w:left w:val="single" w:sz="4" w:space="0" w:color="auto"/>
              <w:bottom w:val="single" w:sz="4" w:space="0" w:color="auto"/>
              <w:right w:val="single" w:sz="4" w:space="0" w:color="auto"/>
            </w:tcBorders>
            <w:shd w:val="clear" w:color="auto" w:fill="auto"/>
            <w:noWrap/>
          </w:tcPr>
          <w:p w:rsidR="000117EF" w:rsidRPr="000117EF" w:rsidRDefault="000117EF" w:rsidP="000117EF">
            <w:pPr>
              <w:jc w:val="both"/>
              <w:rPr>
                <w:b/>
                <w:bCs/>
                <w:sz w:val="22"/>
                <w:szCs w:val="22"/>
              </w:rPr>
            </w:pPr>
          </w:p>
        </w:tc>
        <w:tc>
          <w:tcPr>
            <w:tcW w:w="1469"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c>
          <w:tcPr>
            <w:tcW w:w="136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c>
          <w:tcPr>
            <w:tcW w:w="143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r>
      <w:tr w:rsidR="000117EF" w:rsidRPr="000117EF" w:rsidTr="0098557B">
        <w:trPr>
          <w:trHeight w:val="282"/>
          <w:jc w:val="center"/>
        </w:trPr>
        <w:tc>
          <w:tcPr>
            <w:tcW w:w="615" w:type="dxa"/>
            <w:tcBorders>
              <w:top w:val="single" w:sz="4" w:space="0" w:color="auto"/>
              <w:left w:val="single" w:sz="4" w:space="0" w:color="auto"/>
              <w:bottom w:val="single" w:sz="4" w:space="0" w:color="auto"/>
              <w:right w:val="nil"/>
            </w:tcBorders>
            <w:shd w:val="clear" w:color="auto" w:fill="auto"/>
            <w:noWrap/>
          </w:tcPr>
          <w:p w:rsidR="000117EF" w:rsidRPr="000117EF" w:rsidRDefault="000117EF" w:rsidP="000117EF">
            <w:pPr>
              <w:ind w:left="360" w:hanging="324"/>
              <w:jc w:val="both"/>
              <w:rPr>
                <w:sz w:val="22"/>
                <w:szCs w:val="22"/>
              </w:rPr>
            </w:pPr>
            <w:r w:rsidRPr="000117EF">
              <w:rPr>
                <w:sz w:val="22"/>
                <w:szCs w:val="22"/>
              </w:rPr>
              <w:t>1.3.</w:t>
            </w:r>
          </w:p>
        </w:tc>
        <w:tc>
          <w:tcPr>
            <w:tcW w:w="5533" w:type="dxa"/>
            <w:tcBorders>
              <w:top w:val="single" w:sz="4" w:space="0" w:color="auto"/>
              <w:left w:val="single" w:sz="4" w:space="0" w:color="auto"/>
              <w:bottom w:val="single" w:sz="4" w:space="0" w:color="auto"/>
              <w:right w:val="single" w:sz="4" w:space="0" w:color="auto"/>
            </w:tcBorders>
            <w:shd w:val="clear" w:color="auto" w:fill="auto"/>
            <w:noWrap/>
          </w:tcPr>
          <w:p w:rsidR="000117EF" w:rsidRPr="000117EF" w:rsidRDefault="000117EF" w:rsidP="000117EF">
            <w:pPr>
              <w:jc w:val="both"/>
              <w:rPr>
                <w:b/>
                <w:bCs/>
                <w:sz w:val="22"/>
                <w:szCs w:val="22"/>
              </w:rPr>
            </w:pPr>
          </w:p>
        </w:tc>
        <w:tc>
          <w:tcPr>
            <w:tcW w:w="1469"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c>
          <w:tcPr>
            <w:tcW w:w="136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c>
          <w:tcPr>
            <w:tcW w:w="143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r>
      <w:tr w:rsidR="000117EF" w:rsidRPr="000117EF" w:rsidTr="0098557B">
        <w:trPr>
          <w:trHeight w:val="413"/>
          <w:jc w:val="center"/>
        </w:trPr>
        <w:tc>
          <w:tcPr>
            <w:tcW w:w="615" w:type="dxa"/>
            <w:tcBorders>
              <w:top w:val="single" w:sz="4" w:space="0" w:color="auto"/>
              <w:left w:val="single" w:sz="4" w:space="0" w:color="auto"/>
              <w:right w:val="nil"/>
            </w:tcBorders>
            <w:shd w:val="clear" w:color="auto" w:fill="auto"/>
            <w:noWrap/>
          </w:tcPr>
          <w:p w:rsidR="000117EF" w:rsidRPr="000117EF" w:rsidRDefault="000117EF" w:rsidP="000117EF">
            <w:pPr>
              <w:jc w:val="both"/>
              <w:rPr>
                <w:sz w:val="22"/>
                <w:szCs w:val="22"/>
              </w:rPr>
            </w:pPr>
            <w:r w:rsidRPr="000117EF">
              <w:rPr>
                <w:sz w:val="22"/>
                <w:szCs w:val="22"/>
              </w:rPr>
              <w:t>2.</w:t>
            </w:r>
          </w:p>
        </w:tc>
        <w:tc>
          <w:tcPr>
            <w:tcW w:w="5533" w:type="dxa"/>
            <w:tcBorders>
              <w:top w:val="single" w:sz="4" w:space="0" w:color="auto"/>
              <w:left w:val="single" w:sz="4" w:space="0" w:color="auto"/>
              <w:right w:val="single" w:sz="4" w:space="0" w:color="auto"/>
            </w:tcBorders>
            <w:shd w:val="clear" w:color="auto" w:fill="auto"/>
            <w:noWrap/>
          </w:tcPr>
          <w:p w:rsidR="000117EF" w:rsidRPr="000117EF" w:rsidRDefault="000117EF" w:rsidP="000117EF">
            <w:pPr>
              <w:jc w:val="both"/>
              <w:rPr>
                <w:bCs/>
                <w:sz w:val="22"/>
                <w:szCs w:val="22"/>
              </w:rPr>
            </w:pPr>
          </w:p>
        </w:tc>
        <w:tc>
          <w:tcPr>
            <w:tcW w:w="1469" w:type="dxa"/>
            <w:tcBorders>
              <w:top w:val="single" w:sz="4" w:space="0" w:color="auto"/>
              <w:left w:val="single" w:sz="4" w:space="0" w:color="auto"/>
              <w:right w:val="single" w:sz="4" w:space="0" w:color="auto"/>
            </w:tcBorders>
          </w:tcPr>
          <w:p w:rsidR="000117EF" w:rsidRPr="000117EF" w:rsidRDefault="000117EF" w:rsidP="000117EF">
            <w:pPr>
              <w:jc w:val="both"/>
              <w:rPr>
                <w:spacing w:val="-3"/>
                <w:sz w:val="22"/>
                <w:szCs w:val="22"/>
              </w:rPr>
            </w:pPr>
          </w:p>
        </w:tc>
        <w:tc>
          <w:tcPr>
            <w:tcW w:w="1363" w:type="dxa"/>
            <w:tcBorders>
              <w:top w:val="single" w:sz="4" w:space="0" w:color="auto"/>
              <w:left w:val="single" w:sz="4" w:space="0" w:color="auto"/>
              <w:right w:val="single" w:sz="4" w:space="0" w:color="auto"/>
            </w:tcBorders>
          </w:tcPr>
          <w:p w:rsidR="000117EF" w:rsidRPr="000117EF" w:rsidRDefault="000117EF" w:rsidP="000117EF">
            <w:pPr>
              <w:jc w:val="both"/>
              <w:rPr>
                <w:spacing w:val="-3"/>
                <w:sz w:val="22"/>
                <w:szCs w:val="22"/>
              </w:rPr>
            </w:pPr>
          </w:p>
        </w:tc>
        <w:tc>
          <w:tcPr>
            <w:tcW w:w="1433" w:type="dxa"/>
            <w:tcBorders>
              <w:top w:val="single" w:sz="4" w:space="0" w:color="auto"/>
              <w:left w:val="single" w:sz="4" w:space="0" w:color="auto"/>
              <w:right w:val="single" w:sz="4" w:space="0" w:color="auto"/>
            </w:tcBorders>
          </w:tcPr>
          <w:p w:rsidR="000117EF" w:rsidRPr="000117EF" w:rsidRDefault="000117EF" w:rsidP="000117EF">
            <w:pPr>
              <w:jc w:val="both"/>
              <w:rPr>
                <w:spacing w:val="-3"/>
                <w:sz w:val="22"/>
                <w:szCs w:val="22"/>
              </w:rPr>
            </w:pPr>
          </w:p>
        </w:tc>
      </w:tr>
      <w:tr w:rsidR="000117EF" w:rsidRPr="000117EF" w:rsidTr="0098557B">
        <w:trPr>
          <w:trHeight w:val="263"/>
          <w:jc w:val="center"/>
        </w:trPr>
        <w:tc>
          <w:tcPr>
            <w:tcW w:w="615" w:type="dxa"/>
            <w:tcBorders>
              <w:top w:val="single" w:sz="4" w:space="0" w:color="auto"/>
              <w:left w:val="single" w:sz="4" w:space="0" w:color="auto"/>
              <w:right w:val="nil"/>
            </w:tcBorders>
            <w:shd w:val="clear" w:color="auto" w:fill="auto"/>
            <w:noWrap/>
          </w:tcPr>
          <w:p w:rsidR="000117EF" w:rsidRPr="000117EF" w:rsidRDefault="000117EF" w:rsidP="000117EF">
            <w:pPr>
              <w:jc w:val="both"/>
              <w:rPr>
                <w:sz w:val="22"/>
                <w:szCs w:val="22"/>
              </w:rPr>
            </w:pPr>
            <w:r w:rsidRPr="000117EF">
              <w:rPr>
                <w:sz w:val="22"/>
                <w:szCs w:val="22"/>
              </w:rPr>
              <w:t>2.1.</w:t>
            </w:r>
          </w:p>
        </w:tc>
        <w:tc>
          <w:tcPr>
            <w:tcW w:w="5533" w:type="dxa"/>
            <w:tcBorders>
              <w:top w:val="single" w:sz="4" w:space="0" w:color="auto"/>
              <w:left w:val="single" w:sz="4" w:space="0" w:color="auto"/>
              <w:right w:val="single" w:sz="4" w:space="0" w:color="auto"/>
            </w:tcBorders>
            <w:shd w:val="clear" w:color="auto" w:fill="auto"/>
            <w:noWrap/>
          </w:tcPr>
          <w:p w:rsidR="000117EF" w:rsidRPr="000117EF" w:rsidRDefault="000117EF" w:rsidP="000117EF">
            <w:pPr>
              <w:jc w:val="both"/>
              <w:rPr>
                <w:spacing w:val="-3"/>
                <w:sz w:val="22"/>
                <w:szCs w:val="22"/>
              </w:rPr>
            </w:pPr>
          </w:p>
        </w:tc>
        <w:tc>
          <w:tcPr>
            <w:tcW w:w="1469" w:type="dxa"/>
            <w:tcBorders>
              <w:top w:val="single" w:sz="4" w:space="0" w:color="auto"/>
              <w:left w:val="single" w:sz="4" w:space="0" w:color="auto"/>
              <w:right w:val="single" w:sz="4" w:space="0" w:color="auto"/>
            </w:tcBorders>
          </w:tcPr>
          <w:p w:rsidR="000117EF" w:rsidRPr="000117EF" w:rsidRDefault="000117EF" w:rsidP="000117EF">
            <w:pPr>
              <w:jc w:val="both"/>
              <w:rPr>
                <w:spacing w:val="-3"/>
                <w:sz w:val="22"/>
                <w:szCs w:val="22"/>
              </w:rPr>
            </w:pPr>
          </w:p>
        </w:tc>
        <w:tc>
          <w:tcPr>
            <w:tcW w:w="1363" w:type="dxa"/>
            <w:tcBorders>
              <w:top w:val="single" w:sz="4" w:space="0" w:color="auto"/>
              <w:left w:val="single" w:sz="4" w:space="0" w:color="auto"/>
              <w:right w:val="single" w:sz="4" w:space="0" w:color="auto"/>
            </w:tcBorders>
          </w:tcPr>
          <w:p w:rsidR="000117EF" w:rsidRPr="000117EF" w:rsidRDefault="000117EF" w:rsidP="000117EF">
            <w:pPr>
              <w:jc w:val="both"/>
              <w:rPr>
                <w:spacing w:val="-3"/>
                <w:sz w:val="22"/>
                <w:szCs w:val="22"/>
              </w:rPr>
            </w:pPr>
          </w:p>
        </w:tc>
        <w:tc>
          <w:tcPr>
            <w:tcW w:w="1433" w:type="dxa"/>
            <w:tcBorders>
              <w:top w:val="single" w:sz="4" w:space="0" w:color="auto"/>
              <w:left w:val="single" w:sz="4" w:space="0" w:color="auto"/>
              <w:right w:val="single" w:sz="4" w:space="0" w:color="auto"/>
            </w:tcBorders>
          </w:tcPr>
          <w:p w:rsidR="000117EF" w:rsidRPr="000117EF" w:rsidRDefault="000117EF" w:rsidP="000117EF">
            <w:pPr>
              <w:jc w:val="both"/>
              <w:rPr>
                <w:spacing w:val="-3"/>
                <w:sz w:val="22"/>
                <w:szCs w:val="22"/>
              </w:rPr>
            </w:pPr>
          </w:p>
        </w:tc>
      </w:tr>
      <w:tr w:rsidR="000117EF" w:rsidRPr="000117EF" w:rsidTr="0098557B">
        <w:trPr>
          <w:trHeight w:val="282"/>
          <w:jc w:val="center"/>
        </w:trPr>
        <w:tc>
          <w:tcPr>
            <w:tcW w:w="615" w:type="dxa"/>
            <w:tcBorders>
              <w:top w:val="single" w:sz="4" w:space="0" w:color="auto"/>
              <w:left w:val="single" w:sz="4" w:space="0" w:color="auto"/>
              <w:bottom w:val="single" w:sz="4" w:space="0" w:color="auto"/>
              <w:right w:val="nil"/>
            </w:tcBorders>
            <w:shd w:val="clear" w:color="auto" w:fill="auto"/>
            <w:noWrap/>
          </w:tcPr>
          <w:p w:rsidR="000117EF" w:rsidRPr="000117EF" w:rsidRDefault="000117EF" w:rsidP="000117EF">
            <w:pPr>
              <w:jc w:val="both"/>
              <w:rPr>
                <w:sz w:val="22"/>
                <w:szCs w:val="22"/>
              </w:rPr>
            </w:pPr>
            <w:r w:rsidRPr="000117EF">
              <w:rPr>
                <w:sz w:val="22"/>
                <w:szCs w:val="22"/>
              </w:rPr>
              <w:t>2.2.</w:t>
            </w:r>
          </w:p>
        </w:tc>
        <w:tc>
          <w:tcPr>
            <w:tcW w:w="5533" w:type="dxa"/>
            <w:tcBorders>
              <w:top w:val="single" w:sz="4" w:space="0" w:color="auto"/>
              <w:left w:val="single" w:sz="4" w:space="0" w:color="auto"/>
              <w:bottom w:val="single" w:sz="4" w:space="0" w:color="auto"/>
              <w:right w:val="single" w:sz="4" w:space="0" w:color="auto"/>
            </w:tcBorders>
            <w:shd w:val="clear" w:color="auto" w:fill="auto"/>
            <w:noWrap/>
          </w:tcPr>
          <w:p w:rsidR="000117EF" w:rsidRPr="000117EF" w:rsidRDefault="000117EF" w:rsidP="000117EF">
            <w:pPr>
              <w:jc w:val="both"/>
              <w:rPr>
                <w:bCs/>
                <w:sz w:val="22"/>
                <w:szCs w:val="22"/>
              </w:rPr>
            </w:pPr>
          </w:p>
        </w:tc>
        <w:tc>
          <w:tcPr>
            <w:tcW w:w="1469"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z w:val="22"/>
                <w:szCs w:val="22"/>
                <w:shd w:val="clear" w:color="auto" w:fill="FFFFFF"/>
              </w:rPr>
            </w:pPr>
          </w:p>
        </w:tc>
        <w:tc>
          <w:tcPr>
            <w:tcW w:w="136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z w:val="22"/>
                <w:szCs w:val="22"/>
                <w:shd w:val="clear" w:color="auto" w:fill="FFFFFF"/>
              </w:rPr>
            </w:pPr>
          </w:p>
        </w:tc>
        <w:tc>
          <w:tcPr>
            <w:tcW w:w="143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z w:val="22"/>
                <w:szCs w:val="22"/>
                <w:shd w:val="clear" w:color="auto" w:fill="FFFFFF"/>
              </w:rPr>
            </w:pPr>
          </w:p>
        </w:tc>
      </w:tr>
      <w:tr w:rsidR="000117EF" w:rsidRPr="000117EF" w:rsidTr="0098557B">
        <w:trPr>
          <w:trHeight w:val="282"/>
          <w:jc w:val="center"/>
        </w:trPr>
        <w:tc>
          <w:tcPr>
            <w:tcW w:w="615" w:type="dxa"/>
            <w:tcBorders>
              <w:top w:val="single" w:sz="4" w:space="0" w:color="auto"/>
              <w:left w:val="single" w:sz="4" w:space="0" w:color="auto"/>
              <w:bottom w:val="single" w:sz="4" w:space="0" w:color="auto"/>
              <w:right w:val="nil"/>
            </w:tcBorders>
            <w:shd w:val="clear" w:color="auto" w:fill="auto"/>
            <w:noWrap/>
          </w:tcPr>
          <w:p w:rsidR="000117EF" w:rsidRPr="000117EF" w:rsidRDefault="000117EF" w:rsidP="000117EF">
            <w:pPr>
              <w:jc w:val="both"/>
              <w:rPr>
                <w:sz w:val="22"/>
                <w:szCs w:val="22"/>
              </w:rPr>
            </w:pPr>
            <w:r w:rsidRPr="000117EF">
              <w:rPr>
                <w:sz w:val="22"/>
                <w:szCs w:val="22"/>
              </w:rPr>
              <w:t>2.3.</w:t>
            </w:r>
          </w:p>
        </w:tc>
        <w:tc>
          <w:tcPr>
            <w:tcW w:w="5533" w:type="dxa"/>
            <w:tcBorders>
              <w:top w:val="single" w:sz="4" w:space="0" w:color="auto"/>
              <w:left w:val="single" w:sz="4" w:space="0" w:color="auto"/>
              <w:bottom w:val="single" w:sz="4" w:space="0" w:color="auto"/>
              <w:right w:val="single" w:sz="4" w:space="0" w:color="auto"/>
            </w:tcBorders>
            <w:shd w:val="clear" w:color="auto" w:fill="auto"/>
            <w:noWrap/>
          </w:tcPr>
          <w:p w:rsidR="000117EF" w:rsidRPr="000117EF" w:rsidRDefault="000117EF" w:rsidP="000117EF">
            <w:pPr>
              <w:jc w:val="both"/>
              <w:rPr>
                <w:bCs/>
                <w:sz w:val="22"/>
                <w:szCs w:val="22"/>
              </w:rPr>
            </w:pPr>
          </w:p>
        </w:tc>
        <w:tc>
          <w:tcPr>
            <w:tcW w:w="1469"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z w:val="22"/>
                <w:szCs w:val="22"/>
                <w:shd w:val="clear" w:color="auto" w:fill="FFFFFF"/>
              </w:rPr>
            </w:pPr>
          </w:p>
        </w:tc>
        <w:tc>
          <w:tcPr>
            <w:tcW w:w="136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z w:val="22"/>
                <w:szCs w:val="22"/>
                <w:shd w:val="clear" w:color="auto" w:fill="FFFFFF"/>
              </w:rPr>
            </w:pPr>
          </w:p>
        </w:tc>
        <w:tc>
          <w:tcPr>
            <w:tcW w:w="143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z w:val="22"/>
                <w:szCs w:val="22"/>
                <w:shd w:val="clear" w:color="auto" w:fill="FFFFFF"/>
              </w:rPr>
            </w:pPr>
          </w:p>
        </w:tc>
      </w:tr>
      <w:tr w:rsidR="000117EF" w:rsidRPr="000117EF" w:rsidTr="0098557B">
        <w:trPr>
          <w:trHeight w:val="282"/>
          <w:jc w:val="center"/>
        </w:trPr>
        <w:tc>
          <w:tcPr>
            <w:tcW w:w="615" w:type="dxa"/>
            <w:tcBorders>
              <w:top w:val="single" w:sz="4" w:space="0" w:color="auto"/>
              <w:left w:val="single" w:sz="4" w:space="0" w:color="auto"/>
              <w:bottom w:val="single" w:sz="4" w:space="0" w:color="auto"/>
              <w:right w:val="nil"/>
            </w:tcBorders>
            <w:shd w:val="clear" w:color="auto" w:fill="auto"/>
            <w:noWrap/>
          </w:tcPr>
          <w:p w:rsidR="000117EF" w:rsidRPr="000117EF" w:rsidRDefault="000117EF" w:rsidP="000117EF">
            <w:pPr>
              <w:jc w:val="both"/>
              <w:rPr>
                <w:sz w:val="22"/>
                <w:szCs w:val="22"/>
              </w:rPr>
            </w:pPr>
          </w:p>
        </w:tc>
        <w:tc>
          <w:tcPr>
            <w:tcW w:w="5533" w:type="dxa"/>
            <w:tcBorders>
              <w:top w:val="single" w:sz="4" w:space="0" w:color="auto"/>
              <w:left w:val="single" w:sz="4" w:space="0" w:color="auto"/>
              <w:bottom w:val="single" w:sz="4" w:space="0" w:color="auto"/>
              <w:right w:val="single" w:sz="4" w:space="0" w:color="auto"/>
            </w:tcBorders>
            <w:shd w:val="clear" w:color="auto" w:fill="auto"/>
            <w:noWrap/>
          </w:tcPr>
          <w:p w:rsidR="000117EF" w:rsidRPr="000117EF" w:rsidRDefault="000117EF" w:rsidP="000117EF">
            <w:pPr>
              <w:jc w:val="both"/>
              <w:rPr>
                <w:b/>
                <w:spacing w:val="-3"/>
                <w:sz w:val="22"/>
                <w:szCs w:val="22"/>
              </w:rPr>
            </w:pPr>
            <w:r w:rsidRPr="000117EF">
              <w:rPr>
                <w:b/>
                <w:spacing w:val="-3"/>
                <w:sz w:val="22"/>
                <w:szCs w:val="22"/>
              </w:rPr>
              <w:t>Всього:</w:t>
            </w:r>
          </w:p>
        </w:tc>
        <w:tc>
          <w:tcPr>
            <w:tcW w:w="1469"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c>
          <w:tcPr>
            <w:tcW w:w="136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c>
          <w:tcPr>
            <w:tcW w:w="143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r>
      <w:tr w:rsidR="000117EF" w:rsidRPr="000117EF" w:rsidTr="0098557B">
        <w:trPr>
          <w:trHeight w:val="282"/>
          <w:jc w:val="center"/>
        </w:trPr>
        <w:tc>
          <w:tcPr>
            <w:tcW w:w="615" w:type="dxa"/>
            <w:tcBorders>
              <w:top w:val="single" w:sz="4" w:space="0" w:color="auto"/>
              <w:left w:val="single" w:sz="4" w:space="0" w:color="auto"/>
              <w:bottom w:val="single" w:sz="4" w:space="0" w:color="auto"/>
              <w:right w:val="nil"/>
            </w:tcBorders>
            <w:shd w:val="clear" w:color="auto" w:fill="auto"/>
            <w:noWrap/>
          </w:tcPr>
          <w:p w:rsidR="000117EF" w:rsidRPr="000117EF" w:rsidRDefault="000117EF" w:rsidP="000117EF">
            <w:pPr>
              <w:jc w:val="both"/>
              <w:rPr>
                <w:sz w:val="22"/>
                <w:szCs w:val="22"/>
              </w:rPr>
            </w:pPr>
          </w:p>
        </w:tc>
        <w:tc>
          <w:tcPr>
            <w:tcW w:w="5533" w:type="dxa"/>
            <w:tcBorders>
              <w:top w:val="single" w:sz="4" w:space="0" w:color="auto"/>
              <w:left w:val="single" w:sz="4" w:space="0" w:color="auto"/>
              <w:bottom w:val="single" w:sz="4" w:space="0" w:color="auto"/>
              <w:right w:val="single" w:sz="4" w:space="0" w:color="auto"/>
            </w:tcBorders>
            <w:shd w:val="clear" w:color="auto" w:fill="auto"/>
            <w:noWrap/>
          </w:tcPr>
          <w:p w:rsidR="000117EF" w:rsidRPr="000117EF" w:rsidRDefault="000117EF" w:rsidP="000117EF">
            <w:pPr>
              <w:jc w:val="both"/>
              <w:rPr>
                <w:b/>
                <w:spacing w:val="-3"/>
                <w:sz w:val="22"/>
                <w:szCs w:val="22"/>
              </w:rPr>
            </w:pPr>
            <w:r w:rsidRPr="000117EF">
              <w:rPr>
                <w:b/>
                <w:spacing w:val="-3"/>
                <w:sz w:val="22"/>
                <w:szCs w:val="22"/>
              </w:rPr>
              <w:t>В т.ч. ПДВ</w:t>
            </w:r>
          </w:p>
        </w:tc>
        <w:tc>
          <w:tcPr>
            <w:tcW w:w="1469"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c>
          <w:tcPr>
            <w:tcW w:w="136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c>
          <w:tcPr>
            <w:tcW w:w="1433" w:type="dxa"/>
            <w:tcBorders>
              <w:top w:val="single" w:sz="4" w:space="0" w:color="auto"/>
              <w:left w:val="single" w:sz="4" w:space="0" w:color="auto"/>
              <w:bottom w:val="single" w:sz="4" w:space="0" w:color="auto"/>
              <w:right w:val="single" w:sz="4" w:space="0" w:color="auto"/>
            </w:tcBorders>
          </w:tcPr>
          <w:p w:rsidR="000117EF" w:rsidRPr="000117EF" w:rsidRDefault="000117EF" w:rsidP="000117EF">
            <w:pPr>
              <w:jc w:val="both"/>
              <w:rPr>
                <w:spacing w:val="-3"/>
                <w:sz w:val="22"/>
                <w:szCs w:val="22"/>
              </w:rPr>
            </w:pPr>
          </w:p>
        </w:tc>
      </w:tr>
    </w:tbl>
    <w:p w:rsidR="000117EF" w:rsidRPr="000117EF" w:rsidRDefault="000117EF" w:rsidP="000117EF">
      <w:pPr>
        <w:jc w:val="both"/>
        <w:rPr>
          <w:sz w:val="22"/>
          <w:szCs w:val="22"/>
        </w:rPr>
      </w:pP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2"/>
          <w:szCs w:val="22"/>
        </w:rPr>
      </w:pPr>
      <w:r w:rsidRPr="000117EF">
        <w:rPr>
          <w:b/>
          <w:sz w:val="22"/>
          <w:szCs w:val="22"/>
        </w:rPr>
        <w:t>ЗАМОВНИК</w:t>
      </w:r>
      <w:r w:rsidRPr="000117EF">
        <w:rPr>
          <w:b/>
          <w:sz w:val="22"/>
          <w:szCs w:val="22"/>
        </w:rPr>
        <w:tab/>
      </w:r>
      <w:r w:rsidRPr="000117EF">
        <w:rPr>
          <w:b/>
          <w:sz w:val="22"/>
          <w:szCs w:val="22"/>
        </w:rPr>
        <w:tab/>
      </w:r>
      <w:r w:rsidRPr="000117EF">
        <w:rPr>
          <w:b/>
          <w:sz w:val="22"/>
          <w:szCs w:val="22"/>
        </w:rPr>
        <w:tab/>
      </w:r>
      <w:r w:rsidRPr="000117EF">
        <w:rPr>
          <w:b/>
          <w:sz w:val="22"/>
          <w:szCs w:val="22"/>
        </w:rPr>
        <w:tab/>
      </w:r>
      <w:r w:rsidRPr="000117EF">
        <w:rPr>
          <w:b/>
          <w:sz w:val="22"/>
          <w:szCs w:val="22"/>
        </w:rPr>
        <w:tab/>
        <w:t>ВИКОНАВЕЦЬ</w:t>
      </w:r>
    </w:p>
    <w:p w:rsidR="000117EF" w:rsidRPr="000117EF" w:rsidRDefault="000117EF" w:rsidP="0001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2"/>
          <w:szCs w:val="22"/>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4690"/>
      </w:tblGrid>
      <w:tr w:rsidR="000117EF" w:rsidRPr="000117EF" w:rsidTr="0098557B">
        <w:trPr>
          <w:trHeight w:val="3489"/>
        </w:trPr>
        <w:tc>
          <w:tcPr>
            <w:tcW w:w="5468" w:type="dxa"/>
          </w:tcPr>
          <w:p w:rsidR="000117EF" w:rsidRPr="000117EF" w:rsidRDefault="000117EF" w:rsidP="000117EF">
            <w:pPr>
              <w:jc w:val="both"/>
              <w:rPr>
                <w:b/>
                <w:sz w:val="22"/>
                <w:szCs w:val="22"/>
              </w:rPr>
            </w:pPr>
            <w:r w:rsidRPr="000117EF">
              <w:rPr>
                <w:b/>
                <w:sz w:val="22"/>
                <w:szCs w:val="22"/>
              </w:rPr>
              <w:t>Державна установа «Інститут нейрохірургії ім. акад. А.П.Ромоданова Національної академії медичних наук України»</w:t>
            </w:r>
          </w:p>
          <w:p w:rsidR="000117EF" w:rsidRPr="000117EF" w:rsidRDefault="000117EF" w:rsidP="000117EF">
            <w:pPr>
              <w:jc w:val="both"/>
              <w:rPr>
                <w:b/>
                <w:sz w:val="22"/>
                <w:szCs w:val="22"/>
                <w:lang w:eastAsia="en-US"/>
              </w:rPr>
            </w:pPr>
            <w:r w:rsidRPr="000117EF">
              <w:rPr>
                <w:b/>
                <w:bCs/>
                <w:sz w:val="22"/>
                <w:szCs w:val="22"/>
              </w:rPr>
              <w:t>I</w:t>
            </w:r>
            <w:r w:rsidRPr="000117EF">
              <w:rPr>
                <w:b/>
                <w:sz w:val="22"/>
                <w:szCs w:val="22"/>
              </w:rPr>
              <w:t xml:space="preserve">BAN № </w:t>
            </w:r>
            <w:r w:rsidRPr="000117EF">
              <w:rPr>
                <w:b/>
                <w:spacing w:val="-4"/>
                <w:sz w:val="22"/>
                <w:szCs w:val="22"/>
              </w:rPr>
              <w:t>UA408201720343140005000009755</w:t>
            </w:r>
          </w:p>
          <w:p w:rsidR="000117EF" w:rsidRPr="000117EF" w:rsidRDefault="000117EF" w:rsidP="000117EF">
            <w:pPr>
              <w:pStyle w:val="ac"/>
              <w:ind w:left="709" w:hanging="709"/>
              <w:rPr>
                <w:rFonts w:ascii="Times New Roman" w:hAnsi="Times New Roman" w:cs="Times New Roman"/>
                <w:b/>
              </w:rPr>
            </w:pPr>
            <w:r w:rsidRPr="000117EF">
              <w:rPr>
                <w:rFonts w:ascii="Times New Roman" w:hAnsi="Times New Roman" w:cs="Times New Roman"/>
                <w:b/>
                <w:bCs/>
              </w:rPr>
              <w:t>I</w:t>
            </w:r>
            <w:r w:rsidRPr="000117EF">
              <w:rPr>
                <w:rFonts w:ascii="Times New Roman" w:hAnsi="Times New Roman" w:cs="Times New Roman"/>
                <w:b/>
              </w:rPr>
              <w:t>BAN №</w:t>
            </w:r>
            <w:r w:rsidRPr="000117EF">
              <w:rPr>
                <w:rFonts w:ascii="Times New Roman" w:hAnsi="Times New Roman" w:cs="Times New Roman"/>
              </w:rPr>
              <w:t xml:space="preserve"> </w:t>
            </w:r>
            <w:r w:rsidRPr="000117EF">
              <w:rPr>
                <w:rFonts w:ascii="Times New Roman" w:hAnsi="Times New Roman" w:cs="Times New Roman"/>
                <w:b/>
              </w:rPr>
              <w:t>UA568201720343131005200009755</w:t>
            </w:r>
          </w:p>
          <w:p w:rsidR="000117EF" w:rsidRPr="000117EF" w:rsidRDefault="000117EF" w:rsidP="000117EF">
            <w:pPr>
              <w:pStyle w:val="ac"/>
              <w:ind w:left="34" w:hanging="34"/>
              <w:rPr>
                <w:rFonts w:ascii="Times New Roman" w:hAnsi="Times New Roman" w:cs="Times New Roman"/>
              </w:rPr>
            </w:pPr>
            <w:r w:rsidRPr="000117EF">
              <w:rPr>
                <w:rFonts w:ascii="Times New Roman" w:hAnsi="Times New Roman" w:cs="Times New Roman"/>
                <w:b/>
                <w:bCs/>
              </w:rPr>
              <w:t>I</w:t>
            </w:r>
            <w:r w:rsidRPr="000117EF">
              <w:rPr>
                <w:rFonts w:ascii="Times New Roman" w:hAnsi="Times New Roman" w:cs="Times New Roman"/>
                <w:b/>
              </w:rPr>
              <w:t>BAN № UA838201720343141005300009755</w:t>
            </w:r>
          </w:p>
          <w:p w:rsidR="000117EF" w:rsidRPr="000117EF" w:rsidRDefault="000117EF" w:rsidP="000117EF">
            <w:pPr>
              <w:jc w:val="both"/>
              <w:rPr>
                <w:sz w:val="22"/>
                <w:szCs w:val="22"/>
              </w:rPr>
            </w:pPr>
            <w:r w:rsidRPr="000117EF">
              <w:rPr>
                <w:sz w:val="22"/>
                <w:szCs w:val="22"/>
              </w:rPr>
              <w:t xml:space="preserve">Держказначейська служба України, м. Київ </w:t>
            </w:r>
          </w:p>
          <w:p w:rsidR="000117EF" w:rsidRPr="000117EF" w:rsidRDefault="000117EF" w:rsidP="000117EF">
            <w:pPr>
              <w:jc w:val="both"/>
              <w:rPr>
                <w:sz w:val="22"/>
                <w:szCs w:val="22"/>
              </w:rPr>
            </w:pPr>
            <w:r w:rsidRPr="000117EF">
              <w:rPr>
                <w:sz w:val="22"/>
                <w:szCs w:val="22"/>
              </w:rPr>
              <w:t>МФО 820172</w:t>
            </w:r>
          </w:p>
          <w:p w:rsidR="000117EF" w:rsidRPr="000117EF" w:rsidRDefault="000117EF" w:rsidP="000117EF">
            <w:pPr>
              <w:jc w:val="both"/>
              <w:rPr>
                <w:sz w:val="22"/>
                <w:szCs w:val="22"/>
              </w:rPr>
            </w:pPr>
            <w:r w:rsidRPr="000117EF">
              <w:rPr>
                <w:sz w:val="22"/>
                <w:szCs w:val="22"/>
              </w:rPr>
              <w:t>ЄДРПОУ 02011930</w:t>
            </w:r>
          </w:p>
          <w:p w:rsidR="000117EF" w:rsidRPr="000117EF" w:rsidRDefault="000117EF" w:rsidP="000117EF">
            <w:pPr>
              <w:jc w:val="both"/>
              <w:rPr>
                <w:sz w:val="22"/>
                <w:szCs w:val="22"/>
              </w:rPr>
            </w:pPr>
            <w:r w:rsidRPr="000117EF">
              <w:rPr>
                <w:sz w:val="22"/>
                <w:szCs w:val="22"/>
              </w:rPr>
              <w:t>04050, м.Київ, вул.Платона Майбороди,32</w:t>
            </w:r>
          </w:p>
          <w:p w:rsidR="000117EF" w:rsidRPr="000117EF" w:rsidRDefault="000117EF" w:rsidP="000117EF">
            <w:pPr>
              <w:jc w:val="both"/>
              <w:rPr>
                <w:sz w:val="22"/>
                <w:szCs w:val="22"/>
              </w:rPr>
            </w:pPr>
            <w:r w:rsidRPr="000117EF">
              <w:rPr>
                <w:sz w:val="22"/>
                <w:szCs w:val="22"/>
              </w:rPr>
              <w:t>т. +38 044 4833682</w:t>
            </w:r>
          </w:p>
          <w:p w:rsidR="000117EF" w:rsidRPr="000117EF" w:rsidRDefault="000117EF" w:rsidP="000117EF">
            <w:pPr>
              <w:jc w:val="both"/>
              <w:rPr>
                <w:sz w:val="22"/>
                <w:szCs w:val="22"/>
              </w:rPr>
            </w:pPr>
            <w:r w:rsidRPr="000117EF">
              <w:rPr>
                <w:sz w:val="22"/>
                <w:szCs w:val="22"/>
              </w:rPr>
              <w:t>_________________________________</w:t>
            </w:r>
          </w:p>
          <w:p w:rsidR="000117EF" w:rsidRPr="000117EF" w:rsidRDefault="000117EF" w:rsidP="000117EF">
            <w:pPr>
              <w:jc w:val="both"/>
              <w:rPr>
                <w:sz w:val="22"/>
                <w:szCs w:val="22"/>
              </w:rPr>
            </w:pPr>
            <w:r w:rsidRPr="000117EF">
              <w:rPr>
                <w:sz w:val="22"/>
                <w:szCs w:val="22"/>
              </w:rPr>
              <w:t>_______________________________________</w:t>
            </w:r>
          </w:p>
          <w:p w:rsidR="000117EF" w:rsidRPr="000117EF" w:rsidRDefault="000117EF" w:rsidP="000117EF">
            <w:pPr>
              <w:rPr>
                <w:b/>
                <w:bCs/>
                <w:sz w:val="22"/>
                <w:szCs w:val="22"/>
              </w:rPr>
            </w:pPr>
          </w:p>
        </w:tc>
        <w:tc>
          <w:tcPr>
            <w:tcW w:w="4690" w:type="dxa"/>
          </w:tcPr>
          <w:p w:rsidR="000117EF" w:rsidRPr="000117EF" w:rsidRDefault="000117EF" w:rsidP="000117EF">
            <w:pPr>
              <w:rPr>
                <w:b/>
                <w:bCs/>
                <w:sz w:val="22"/>
                <w:szCs w:val="22"/>
              </w:rPr>
            </w:pPr>
          </w:p>
        </w:tc>
      </w:tr>
    </w:tbl>
    <w:p w:rsidR="000117EF" w:rsidRPr="000117EF" w:rsidRDefault="000117EF" w:rsidP="000117EF">
      <w:pPr>
        <w:ind w:left="120"/>
        <w:rPr>
          <w:sz w:val="22"/>
          <w:szCs w:val="22"/>
        </w:rPr>
      </w:pPr>
    </w:p>
    <w:p w:rsidR="00CF29A6" w:rsidRPr="000117EF" w:rsidRDefault="00CF29A6" w:rsidP="000117EF">
      <w:pPr>
        <w:rPr>
          <w:sz w:val="22"/>
          <w:szCs w:val="22"/>
        </w:rPr>
      </w:pPr>
    </w:p>
    <w:sectPr w:rsidR="00CF29A6" w:rsidRPr="000117EF">
      <w:footerReference w:type="even" r:id="rId12"/>
      <w:footerReference w:type="default" r:id="rId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6F" w:rsidRDefault="000117EF" w:rsidP="003F7498">
    <w:pPr>
      <w:pStyle w:val="a6"/>
      <w:framePr w:wrap="around" w:vAnchor="text" w:hAnchor="margin" w:xAlign="center"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60776F" w:rsidRDefault="000117E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6F" w:rsidRDefault="000117EF" w:rsidP="003F7498">
    <w:pPr>
      <w:pStyle w:val="a6"/>
      <w:framePr w:wrap="around" w:vAnchor="text" w:hAnchor="margin" w:xAlign="center"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separate"/>
    </w:r>
    <w:r>
      <w:rPr>
        <w:rStyle w:val="a5"/>
        <w:rFonts w:eastAsia="Calibri"/>
        <w:noProof/>
      </w:rPr>
      <w:t>6</w:t>
    </w:r>
    <w:r>
      <w:rPr>
        <w:rStyle w:val="a5"/>
        <w:rFonts w:eastAsia="Calibri"/>
      </w:rPr>
      <w:fldChar w:fldCharType="end"/>
    </w:r>
  </w:p>
  <w:p w:rsidR="0060776F" w:rsidRDefault="000117EF" w:rsidP="002E5CCE">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1" w15:restartNumberingAfterBreak="0">
    <w:nsid w:val="2ADE4D73"/>
    <w:multiLevelType w:val="hybridMultilevel"/>
    <w:tmpl w:val="8A9AD0C0"/>
    <w:lvl w:ilvl="0" w:tplc="5AE20EBC">
      <w:start w:val="4"/>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5804563F"/>
    <w:multiLevelType w:val="hybridMultilevel"/>
    <w:tmpl w:val="08EE067E"/>
    <w:lvl w:ilvl="0" w:tplc="D47C1C32">
      <w:start w:val="1"/>
      <w:numFmt w:val="upperRoman"/>
      <w:lvlText w:val="%1."/>
      <w:lvlJc w:val="left"/>
      <w:pPr>
        <w:ind w:left="1429" w:hanging="72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EF"/>
    <w:rsid w:val="000117EF"/>
    <w:rsid w:val="00CF2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A0268-E6C8-4B3C-9A92-0DD50655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l"/>
    <w:basedOn w:val="a"/>
    <w:link w:val="a4"/>
    <w:qFormat/>
    <w:rsid w:val="000117EF"/>
    <w:pPr>
      <w:ind w:left="720"/>
      <w:contextualSpacing/>
    </w:pPr>
    <w:rPr>
      <w:rFonts w:ascii="Calibri" w:eastAsia="Calibri" w:hAnsi="Calibri" w:cs="Calibri"/>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 Знак"/>
    <w:link w:val="a3"/>
    <w:rsid w:val="000117EF"/>
    <w:rPr>
      <w:rFonts w:ascii="Calibri" w:eastAsia="Calibri" w:hAnsi="Calibri" w:cs="Calibri"/>
    </w:rPr>
  </w:style>
  <w:style w:type="character" w:styleId="a5">
    <w:name w:val="page number"/>
    <w:basedOn w:val="a0"/>
    <w:rsid w:val="000117EF"/>
  </w:style>
  <w:style w:type="paragraph" w:styleId="a6">
    <w:name w:val="footer"/>
    <w:basedOn w:val="a"/>
    <w:link w:val="a7"/>
    <w:rsid w:val="000117EF"/>
    <w:pPr>
      <w:tabs>
        <w:tab w:val="center" w:pos="4677"/>
        <w:tab w:val="right" w:pos="9355"/>
      </w:tabs>
    </w:pPr>
  </w:style>
  <w:style w:type="character" w:customStyle="1" w:styleId="a7">
    <w:name w:val="Нижній колонтитул Знак"/>
    <w:basedOn w:val="a0"/>
    <w:link w:val="a6"/>
    <w:rsid w:val="000117EF"/>
    <w:rPr>
      <w:rFonts w:ascii="Times New Roman" w:eastAsia="Times New Roman" w:hAnsi="Times New Roman" w:cs="Times New Roman"/>
      <w:sz w:val="24"/>
      <w:szCs w:val="24"/>
      <w:lang w:eastAsia="ru-RU"/>
    </w:rPr>
  </w:style>
  <w:style w:type="paragraph" w:customStyle="1" w:styleId="rvps2">
    <w:name w:val="rvps2"/>
    <w:basedOn w:val="a"/>
    <w:qFormat/>
    <w:rsid w:val="000117EF"/>
    <w:pPr>
      <w:spacing w:before="100" w:beforeAutospacing="1" w:after="100" w:afterAutospacing="1"/>
    </w:pPr>
    <w:rPr>
      <w:rFonts w:eastAsia="Calibri"/>
      <w:lang w:eastAsia="uk-UA"/>
    </w:rPr>
  </w:style>
  <w:style w:type="character" w:styleId="a8">
    <w:name w:val="Hyperlink"/>
    <w:uiPriority w:val="99"/>
    <w:qFormat/>
    <w:rsid w:val="000117EF"/>
    <w:rPr>
      <w:color w:val="0000FF"/>
      <w:u w:val="single"/>
    </w:rPr>
  </w:style>
  <w:style w:type="paragraph" w:styleId="a9">
    <w:name w:val="Body Text Indent"/>
    <w:basedOn w:val="a"/>
    <w:link w:val="aa"/>
    <w:rsid w:val="000117EF"/>
    <w:pPr>
      <w:spacing w:after="120"/>
      <w:ind w:left="283"/>
    </w:pPr>
  </w:style>
  <w:style w:type="character" w:customStyle="1" w:styleId="aa">
    <w:name w:val="Основний текст з відступом Знак"/>
    <w:basedOn w:val="a0"/>
    <w:link w:val="a9"/>
    <w:rsid w:val="000117EF"/>
    <w:rPr>
      <w:rFonts w:ascii="Times New Roman" w:eastAsia="Times New Roman" w:hAnsi="Times New Roman" w:cs="Times New Roman"/>
      <w:sz w:val="24"/>
      <w:szCs w:val="24"/>
      <w:lang w:eastAsia="ru-RU"/>
    </w:rPr>
  </w:style>
  <w:style w:type="paragraph" w:customStyle="1" w:styleId="1">
    <w:name w:val="Обычный (веб)1"/>
    <w:basedOn w:val="a"/>
    <w:rsid w:val="000117EF"/>
    <w:pPr>
      <w:suppressAutoHyphens/>
      <w:spacing w:before="280" w:after="280"/>
    </w:pPr>
    <w:rPr>
      <w:lang w:val="ru-RU" w:eastAsia="ar-SA"/>
    </w:rPr>
  </w:style>
  <w:style w:type="character" w:customStyle="1" w:styleId="ab">
    <w:name w:val="Основной текст_"/>
    <w:link w:val="ac"/>
    <w:qFormat/>
    <w:locked/>
    <w:rsid w:val="000117EF"/>
  </w:style>
  <w:style w:type="paragraph" w:customStyle="1" w:styleId="ac">
    <w:name w:val="Основной текст"/>
    <w:basedOn w:val="a"/>
    <w:link w:val="ab"/>
    <w:rsid w:val="000117EF"/>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12082</Words>
  <Characters>6888</Characters>
  <Application>Microsoft Office Word</Application>
  <DocSecurity>0</DocSecurity>
  <Lines>57</Lines>
  <Paragraphs>37</Paragraphs>
  <ScaleCrop>false</ScaleCrop>
  <Company/>
  <LinksUpToDate>false</LinksUpToDate>
  <CharactersWithSpaces>18933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cp:revision>
  <dcterms:created xsi:type="dcterms:W3CDTF">2023-11-10T12:53:00Z</dcterms:created>
  <dcterms:modified xsi:type="dcterms:W3CDTF">2023-11-10T12:57:00Z</dcterms:modified>
</cp:coreProperties>
</file>