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0D3D50"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3D4908" w:rsidP="008E71EB">
            <w:pPr>
              <w:spacing w:after="0" w:line="240" w:lineRule="auto"/>
              <w:jc w:val="both"/>
              <w:rPr>
                <w:rFonts w:ascii="Times New Roman" w:hAnsi="Times New Roman"/>
                <w:sz w:val="24"/>
                <w:szCs w:val="24"/>
                <w:lang w:val="uk-UA"/>
              </w:rPr>
            </w:pPr>
            <w:r w:rsidRPr="00974BBC">
              <w:rPr>
                <w:rFonts w:ascii="Times New Roman" w:hAnsi="Times New Roman"/>
                <w:sz w:val="24"/>
                <w:szCs w:val="24"/>
                <w:lang w:val="uk-UA" w:eastAsia="ru-RU"/>
              </w:rPr>
              <w:t xml:space="preserve">    </w:t>
            </w:r>
            <w:r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досвід надання</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их послуг.</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Для підтвердження наявності документально підтвердженого досвіду виконання аналогічного (аналогічних) за предметом закупівлі договору (договорів) зазначених/ого в п</w:t>
            </w:r>
            <w:r w:rsidR="000D3D50">
              <w:rPr>
                <w:rFonts w:ascii="Times New Roman" w:hAnsi="Times New Roman"/>
                <w:color w:val="000000"/>
                <w:sz w:val="24"/>
                <w:szCs w:val="24"/>
                <w:lang w:val="uk-UA"/>
              </w:rPr>
              <w:t>.</w:t>
            </w:r>
            <w:bookmarkStart w:id="0" w:name="_GoBack"/>
            <w:bookmarkEnd w:id="0"/>
            <w:r w:rsidR="00335840" w:rsidRPr="00335840">
              <w:rPr>
                <w:rFonts w:ascii="Times New Roman" w:hAnsi="Times New Roman"/>
                <w:color w:val="000000"/>
                <w:sz w:val="24"/>
                <w:szCs w:val="24"/>
                <w:lang w:val="uk-UA"/>
              </w:rPr>
              <w:t xml:space="preserve">1.1 Учасник надає копію укладеного договору (договорів). Договір </w:t>
            </w:r>
            <w:r w:rsidR="000D3D50">
              <w:rPr>
                <w:rFonts w:ascii="Times New Roman" w:hAnsi="Times New Roman"/>
                <w:color w:val="000000"/>
                <w:sz w:val="24"/>
                <w:szCs w:val="24"/>
                <w:lang w:val="uk-UA"/>
              </w:rPr>
              <w:t>має</w:t>
            </w:r>
            <w:r w:rsidR="00335840" w:rsidRPr="00335840">
              <w:rPr>
                <w:rFonts w:ascii="Times New Roman" w:hAnsi="Times New Roman"/>
                <w:color w:val="000000"/>
                <w:sz w:val="24"/>
                <w:szCs w:val="24"/>
                <w:lang w:val="uk-UA"/>
              </w:rPr>
              <w:t xml:space="preserve"> бути виконаний повністю.</w:t>
            </w: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 наданні аналогічних послуг.</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44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D24D6" w:rsidRP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24D6" w:rsidRDefault="00AD24D6"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AD24D6">
        <w:rPr>
          <w:rFonts w:ascii="Times New Roman" w:hAnsi="Times New Roman"/>
          <w:sz w:val="24"/>
          <w:szCs w:val="24"/>
          <w:lang w:val="uk-UA"/>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bookmarkStart w:id="3" w:name="_Hlk37754101"/>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350" w:type="dxa"/>
            <w:tcMar>
              <w:top w:w="100" w:type="dxa"/>
              <w:left w:w="100" w:type="dxa"/>
              <w:bottom w:w="100" w:type="dxa"/>
              <w:right w:w="100" w:type="dxa"/>
            </w:tcMar>
          </w:tcPr>
          <w:p w:rsidR="003D4908" w:rsidRPr="005E2819" w:rsidRDefault="00DE3708" w:rsidP="002852CA">
            <w:pPr>
              <w:spacing w:after="0" w:line="240" w:lineRule="auto"/>
              <w:ind w:left="100"/>
              <w:jc w:val="both"/>
              <w:rPr>
                <w:rFonts w:ascii="Times New Roman" w:hAnsi="Times New Roman"/>
                <w:sz w:val="20"/>
                <w:szCs w:val="20"/>
                <w:lang w:val="uk-UA"/>
              </w:rPr>
            </w:pPr>
            <w:r w:rsidRPr="00DE3708">
              <w:rPr>
                <w:rFonts w:ascii="Times New Roman" w:hAnsi="Times New Roman"/>
                <w:b/>
                <w:color w:val="000000"/>
                <w:sz w:val="20"/>
                <w:szCs w:val="2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5E2819" w:rsidRDefault="00DE3708" w:rsidP="002852CA">
            <w:pPr>
              <w:spacing w:after="0" w:line="240" w:lineRule="auto"/>
              <w:ind w:left="100"/>
              <w:jc w:val="both"/>
              <w:rPr>
                <w:rFonts w:ascii="Times New Roman" w:hAnsi="Times New Roman"/>
                <w:sz w:val="20"/>
                <w:szCs w:val="20"/>
                <w:lang w:val="uk-UA"/>
              </w:rPr>
            </w:pPr>
            <w:r w:rsidRPr="00DE3708">
              <w:rPr>
                <w:rFonts w:ascii="Times New Roman" w:hAnsi="Times New Roman"/>
                <w:b/>
                <w:color w:val="000000"/>
                <w:sz w:val="20"/>
                <w:szCs w:val="2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0D3D50"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44 Особливостей)</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 </w:t>
            </w:r>
          </w:p>
        </w:tc>
      </w:tr>
      <w:tr w:rsidR="00DE3708" w:rsidRPr="000D3D50"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lastRenderedPageBreak/>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44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44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0D3D5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44 Особливостей)</w:t>
            </w:r>
          </w:p>
        </w:tc>
        <w:tc>
          <w:tcPr>
            <w:tcW w:w="4503" w:type="dxa"/>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r w:rsidRPr="00DE3708">
              <w:rPr>
                <w:rFonts w:ascii="Times New Roman" w:hAnsi="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0D3D5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lastRenderedPageBreak/>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lastRenderedPageBreak/>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0D3D5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3D4908" w:rsidP="00A836C9">
            <w:pPr>
              <w:spacing w:after="0" w:line="240" w:lineRule="auto"/>
              <w:ind w:left="100"/>
              <w:rPr>
                <w:rFonts w:ascii="Times New Roman" w:hAnsi="Times New Roman"/>
                <w:bCs/>
                <w:color w:val="000000"/>
                <w:sz w:val="24"/>
                <w:szCs w:val="24"/>
                <w:lang w:val="uk-UA" w:eastAsia="ru-RU"/>
              </w:rPr>
            </w:pPr>
            <w:r w:rsidRPr="007068A5">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A4" w:rsidRDefault="00AA77A4" w:rsidP="002711EB">
      <w:pPr>
        <w:spacing w:after="0" w:line="240" w:lineRule="auto"/>
      </w:pPr>
      <w:r>
        <w:separator/>
      </w:r>
    </w:p>
  </w:endnote>
  <w:endnote w:type="continuationSeparator" w:id="0">
    <w:p w:rsidR="00AA77A4" w:rsidRDefault="00AA77A4"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A4" w:rsidRDefault="00AA77A4" w:rsidP="002711EB">
      <w:pPr>
        <w:spacing w:after="0" w:line="240" w:lineRule="auto"/>
      </w:pPr>
      <w:r>
        <w:separator/>
      </w:r>
    </w:p>
  </w:footnote>
  <w:footnote w:type="continuationSeparator" w:id="0">
    <w:p w:rsidR="00AA77A4" w:rsidRDefault="00AA77A4"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D3D50"/>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83432"/>
    <w:rsid w:val="00390AA3"/>
    <w:rsid w:val="00394AD5"/>
    <w:rsid w:val="00395366"/>
    <w:rsid w:val="003C0208"/>
    <w:rsid w:val="003C415E"/>
    <w:rsid w:val="003C7569"/>
    <w:rsid w:val="003D32E3"/>
    <w:rsid w:val="003D4908"/>
    <w:rsid w:val="003E2DA4"/>
    <w:rsid w:val="003E7E42"/>
    <w:rsid w:val="003F68B3"/>
    <w:rsid w:val="00403CB6"/>
    <w:rsid w:val="00414B3B"/>
    <w:rsid w:val="00417AFF"/>
    <w:rsid w:val="00420692"/>
    <w:rsid w:val="00421331"/>
    <w:rsid w:val="00447088"/>
    <w:rsid w:val="0044748C"/>
    <w:rsid w:val="0049017B"/>
    <w:rsid w:val="00492F51"/>
    <w:rsid w:val="004A1005"/>
    <w:rsid w:val="004A1F99"/>
    <w:rsid w:val="004C143C"/>
    <w:rsid w:val="004C19C8"/>
    <w:rsid w:val="004C5D81"/>
    <w:rsid w:val="004D070E"/>
    <w:rsid w:val="004D3A1E"/>
    <w:rsid w:val="004D7431"/>
    <w:rsid w:val="004E62ED"/>
    <w:rsid w:val="004E7C3B"/>
    <w:rsid w:val="004F0F5C"/>
    <w:rsid w:val="005076B1"/>
    <w:rsid w:val="00507D89"/>
    <w:rsid w:val="00515654"/>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A2AE4"/>
    <w:rsid w:val="008D27D1"/>
    <w:rsid w:val="008D4423"/>
    <w:rsid w:val="008D7E08"/>
    <w:rsid w:val="008E71EB"/>
    <w:rsid w:val="008F36AC"/>
    <w:rsid w:val="008F4E70"/>
    <w:rsid w:val="008F7B3A"/>
    <w:rsid w:val="009010BE"/>
    <w:rsid w:val="009021B9"/>
    <w:rsid w:val="0091034A"/>
    <w:rsid w:val="0091155B"/>
    <w:rsid w:val="0094172A"/>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A77A4"/>
    <w:rsid w:val="00AC7281"/>
    <w:rsid w:val="00AD24D6"/>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D3E15"/>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C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10194</Words>
  <Characters>5812</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2023-04-10T10:28:00Z</dcterms:created>
  <dcterms:modified xsi:type="dcterms:W3CDTF">2024-03-14T13:09:00Z</dcterms:modified>
</cp:coreProperties>
</file>