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tabs>
          <w:tab w:val="center" w:pos="7654"/>
        </w:tabs>
        <w:spacing w:after="0" w:line="240" w:lineRule="auto"/>
        <w:ind w:left="5670"/>
        <w:jc w:val="right"/>
        <w:rPr>
          <w:rFonts w:ascii="Times New Roman" w:eastAsia="Times New Roman" w:hAnsi="Times New Roman" w:cs="Times New Roman"/>
          <w:b/>
          <w:sz w:val="24"/>
          <w:szCs w:val="24"/>
          <w:lang w:val="uk-UA"/>
        </w:rPr>
      </w:pPr>
      <w:r w:rsidRPr="00DC02E1">
        <w:rPr>
          <w:rFonts w:ascii="Times New Roman" w:eastAsia="Times New Roman" w:hAnsi="Times New Roman" w:cs="Times New Roman"/>
          <w:b/>
          <w:sz w:val="24"/>
          <w:szCs w:val="24"/>
          <w:lang w:val="uk-UA"/>
        </w:rPr>
        <w:t>Додаток № 3</w:t>
      </w:r>
      <w:r w:rsidRPr="00DC02E1">
        <w:rPr>
          <w:rFonts w:ascii="Times New Roman" w:eastAsia="Times New Roman" w:hAnsi="Times New Roman" w:cs="Times New Roman"/>
          <w:b/>
          <w:sz w:val="24"/>
          <w:szCs w:val="24"/>
          <w:lang w:val="uk-UA"/>
        </w:rPr>
        <w:tab/>
      </w:r>
    </w:p>
    <w:p w:rsidR="00DC02E1" w:rsidRPr="00DC02E1" w:rsidRDefault="00DC02E1" w:rsidP="00DC02E1">
      <w:pPr>
        <w:spacing w:after="0" w:line="240" w:lineRule="auto"/>
        <w:ind w:left="5670"/>
        <w:jc w:val="right"/>
        <w:rPr>
          <w:rFonts w:ascii="Times New Roman" w:eastAsia="Times New Roman" w:hAnsi="Times New Roman" w:cs="Times New Roman"/>
          <w:b/>
          <w:sz w:val="24"/>
          <w:szCs w:val="24"/>
          <w:lang w:val="uk-UA"/>
        </w:rPr>
      </w:pPr>
      <w:r w:rsidRPr="00DC02E1">
        <w:rPr>
          <w:rFonts w:ascii="Times New Roman" w:eastAsia="Times New Roman" w:hAnsi="Times New Roman" w:cs="Times New Roman"/>
          <w:b/>
          <w:sz w:val="24"/>
          <w:szCs w:val="24"/>
          <w:lang w:val="uk-UA"/>
        </w:rPr>
        <w:t xml:space="preserve">до Тендерної документації </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«____»____________ 2023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xml:space="preserve">, іменована в подальшому Покупець (має статус неприбуткової установи), в особі в.о. 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1.1. Постачальник зобов’язаний  поставити та передати у власність Покупцеві </w:t>
      </w:r>
      <w:r w:rsidRPr="00753F72">
        <w:rPr>
          <w:rFonts w:ascii="Times New Roman" w:eastAsia="Calibri" w:hAnsi="Times New Roman" w:cs="Times New Roman"/>
          <w:b/>
          <w:color w:val="000000"/>
          <w:lang w:val="uk-UA" w:eastAsia="ru-RU"/>
        </w:rPr>
        <w:t xml:space="preserve">молоко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332DBB" w:rsidRPr="00332DBB">
        <w:rPr>
          <w:rFonts w:ascii="Times New Roman" w:eastAsia="Calibri" w:hAnsi="Times New Roman" w:cs="Times New Roman"/>
          <w:lang w:val="uk-UA" w:eastAsia="ru-RU"/>
        </w:rPr>
        <w:t>«</w:t>
      </w:r>
      <w:r w:rsidR="00332DBB" w:rsidRPr="00332DBB">
        <w:rPr>
          <w:rFonts w:ascii="Times New Roman" w:eastAsia="Calibri" w:hAnsi="Times New Roman" w:cs="Times New Roman"/>
          <w:b/>
          <w:lang w:val="uk-UA"/>
        </w:rPr>
        <w:t xml:space="preserve">Молоко 2,5% жиру» </w:t>
      </w:r>
      <w:r w:rsidR="00332DBB" w:rsidRPr="00332DBB">
        <w:rPr>
          <w:rFonts w:ascii="Times New Roman" w:eastAsia="Calibri" w:hAnsi="Times New Roman" w:cs="Times New Roman"/>
          <w:lang w:val="uk-UA"/>
        </w:rPr>
        <w:t>за ДК 021:2015</w:t>
      </w:r>
      <w:r w:rsidR="00332DBB" w:rsidRPr="00332DBB">
        <w:rPr>
          <w:rFonts w:ascii="Times New Roman" w:eastAsia="Calibri" w:hAnsi="Times New Roman" w:cs="Times New Roman"/>
          <w:b/>
          <w:lang w:val="uk-UA"/>
        </w:rPr>
        <w:t xml:space="preserve"> - 15510000-6 - Молоко та вершки</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4.2. Термін поставки: протягом 2023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w:t>
      </w:r>
      <w:bookmarkStart w:id="0" w:name="_GoBack"/>
      <w:bookmarkEnd w:id="0"/>
      <w:r w:rsidRPr="00DC02E1">
        <w:rPr>
          <w:rFonts w:ascii="Times New Roman" w:eastAsia="Calibri" w:hAnsi="Times New Roman" w:cs="Times New Roman"/>
          <w:b/>
          <w:color w:val="000000"/>
          <w:lang w:val="uk-UA" w:eastAsia="ru-RU"/>
        </w:rPr>
        <w:t>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його Сторонами і діє до 31.12.2023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w:t>
      </w:r>
      <w:r w:rsidRPr="00DC02E1">
        <w:rPr>
          <w:rFonts w:ascii="Times New Roman" w:eastAsia="Calibri" w:hAnsi="Times New Roman" w:cs="Times New Roman"/>
          <w:color w:val="000000"/>
          <w:lang w:val="uk-UA" w:eastAsia="ru-RU"/>
        </w:rPr>
        <w:lastRenderedPageBreak/>
        <w:t>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lastRenderedPageBreak/>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В.о. директора</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lastRenderedPageBreak/>
        <w:t>до Договору про постачання</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Pr="00DC02E1">
        <w:rPr>
          <w:rFonts w:ascii="Times New Roman" w:eastAsia="Times New Roman" w:hAnsi="Times New Roman" w:cs="Times New Roman"/>
          <w:b/>
          <w:sz w:val="24"/>
          <w:szCs w:val="24"/>
          <w:lang w:val="uk-UA" w:eastAsia="ru-RU"/>
        </w:rPr>
        <w:t xml:space="preserve"> від «______» ____________2023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«____» ___________2023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надалі «Покупець», в особі в.о. 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від «_____» ______________ 2023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Дана Специфікація є невід’ємною частиною Договору № _____ від «_____» __________2023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В.о. директора</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753F72"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121263"/>
    <w:rsid w:val="00304891"/>
    <w:rsid w:val="00332DBB"/>
    <w:rsid w:val="003562AB"/>
    <w:rsid w:val="00753F72"/>
    <w:rsid w:val="00A27F86"/>
    <w:rsid w:val="00BE3C55"/>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3364</Words>
  <Characters>19178</Characters>
  <Application>Microsoft Office Word</Application>
  <DocSecurity>0</DocSecurity>
  <Lines>159</Lines>
  <Paragraphs>44</Paragraphs>
  <ScaleCrop>false</ScaleCrop>
  <Company>SPecialiST RePack</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2022-12-16T10:36:00Z</dcterms:created>
  <dcterms:modified xsi:type="dcterms:W3CDTF">2023-09-04T15:46:00Z</dcterms:modified>
</cp:coreProperties>
</file>