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3C" w:rsidRDefault="007D173C" w:rsidP="007D173C">
      <w:pPr>
        <w:widowControl w:val="0"/>
        <w:contextualSpacing/>
        <w:jc w:val="right"/>
      </w:pPr>
      <w:bookmarkStart w:id="0" w:name="_Hlk142334701"/>
      <w:bookmarkEnd w:id="0"/>
      <w:r>
        <w:t>Додаток 3</w:t>
      </w:r>
    </w:p>
    <w:p w:rsidR="007D173C" w:rsidRDefault="007D173C" w:rsidP="007D173C">
      <w:pPr>
        <w:widowControl w:val="0"/>
        <w:contextualSpacing/>
        <w:jc w:val="right"/>
      </w:pPr>
      <w:r>
        <w:t xml:space="preserve"> до тендерної документації</w:t>
      </w:r>
    </w:p>
    <w:p w:rsidR="007D173C" w:rsidRDefault="007D173C" w:rsidP="007D173C">
      <w:pPr>
        <w:shd w:val="clear" w:color="auto" w:fill="FFFFFF"/>
        <w:contextualSpacing/>
        <w:jc w:val="right"/>
        <w:outlineLvl w:val="5"/>
        <w:rPr>
          <w:b/>
        </w:rPr>
      </w:pPr>
      <w:r>
        <w:rPr>
          <w:b/>
        </w:rPr>
        <w:t>ПРОЕКТ</w:t>
      </w:r>
    </w:p>
    <w:p w:rsidR="007D173C" w:rsidRDefault="007D173C" w:rsidP="007D173C">
      <w:pPr>
        <w:shd w:val="clear" w:color="auto" w:fill="FFFFFF"/>
        <w:contextualSpacing/>
        <w:jc w:val="center"/>
        <w:outlineLvl w:val="5"/>
        <w:rPr>
          <w:b/>
          <w:bCs/>
          <w:color w:val="000000"/>
        </w:rPr>
      </w:pPr>
      <w:r>
        <w:rPr>
          <w:b/>
        </w:rPr>
        <w:t xml:space="preserve"> ДОГОВІР </w:t>
      </w:r>
      <w:r>
        <w:rPr>
          <w:b/>
          <w:color w:val="000000"/>
        </w:rPr>
        <w:t>№ ____</w:t>
      </w:r>
    </w:p>
    <w:tbl>
      <w:tblPr>
        <w:tblW w:w="0" w:type="auto"/>
        <w:tblCellMar>
          <w:top w:w="15" w:type="dxa"/>
          <w:left w:w="15" w:type="dxa"/>
          <w:bottom w:w="15" w:type="dxa"/>
          <w:right w:w="15" w:type="dxa"/>
        </w:tblCellMar>
        <w:tblLook w:val="04A0" w:firstRow="1" w:lastRow="0" w:firstColumn="1" w:lastColumn="0" w:noHBand="0" w:noVBand="1"/>
      </w:tblPr>
      <w:tblGrid>
        <w:gridCol w:w="4085"/>
        <w:gridCol w:w="5554"/>
      </w:tblGrid>
      <w:tr w:rsidR="007D173C" w:rsidTr="007D173C">
        <w:tc>
          <w:tcPr>
            <w:tcW w:w="4185" w:type="dxa"/>
            <w:tcBorders>
              <w:top w:val="nil"/>
              <w:left w:val="nil"/>
              <w:bottom w:val="nil"/>
              <w:right w:val="nil"/>
            </w:tcBorders>
            <w:hideMark/>
          </w:tcPr>
          <w:p w:rsidR="007D173C" w:rsidRDefault="007D173C">
            <w:pPr>
              <w:contextualSpacing/>
              <w:rPr>
                <w:rFonts w:eastAsia="Calibri"/>
              </w:rPr>
            </w:pPr>
            <w:bookmarkStart w:id="1" w:name="_Hlk73353578"/>
            <w:r>
              <w:rPr>
                <w:rFonts w:eastAsia="Calibri"/>
              </w:rPr>
              <w:t>______________</w:t>
            </w:r>
            <w:bookmarkEnd w:id="1"/>
          </w:p>
        </w:tc>
        <w:tc>
          <w:tcPr>
            <w:tcW w:w="5655" w:type="dxa"/>
            <w:tcBorders>
              <w:top w:val="nil"/>
              <w:left w:val="nil"/>
              <w:bottom w:val="nil"/>
              <w:right w:val="nil"/>
            </w:tcBorders>
            <w:hideMark/>
          </w:tcPr>
          <w:p w:rsidR="007D173C" w:rsidRDefault="007D173C">
            <w:pPr>
              <w:contextualSpacing/>
              <w:jc w:val="right"/>
              <w:rPr>
                <w:rFonts w:eastAsia="Calibri"/>
              </w:rPr>
            </w:pPr>
            <w:r>
              <w:rPr>
                <w:rFonts w:eastAsia="Calibri"/>
              </w:rPr>
              <w:t xml:space="preserve"> «____»________________20__ року</w:t>
            </w:r>
          </w:p>
        </w:tc>
      </w:tr>
    </w:tbl>
    <w:p w:rsidR="007D173C" w:rsidRDefault="007D173C" w:rsidP="007D173C">
      <w:pPr>
        <w:jc w:val="both"/>
        <w:rPr>
          <w:rFonts w:eastAsia="Calibri"/>
        </w:rPr>
      </w:pPr>
      <w:r>
        <w:rPr>
          <w:rFonts w:eastAsia="Calibri"/>
          <w:bCs/>
        </w:rPr>
        <w:tab/>
      </w:r>
      <w:r>
        <w:rPr>
          <w:rFonts w:eastAsia="Calibri"/>
        </w:rPr>
        <w:t xml:space="preserve">____________________________________________________ (далі – Замовник), в особі _____________________________________________, що діє на підставі ______________, з однієї сторони, та ___________________________, що надалі іменується «Постачальник», в особі __________________________________________________________, що діє на підставі ______________________________, з другої сторони, надалі разом іменовані «Сторони», чи окремо «Сторона», керуючись Цивільним та Господарським кодексами України, Законі України “Про публічні закупівлі” (далі – Закон), постановою КМУ від 12 жовтня 2022 р. № 1178 (із змінами) Про затвердження особливостей здійснення публічних </w:t>
      </w:r>
      <w:proofErr w:type="spellStart"/>
      <w:r>
        <w:rPr>
          <w:rFonts w:eastAsia="Calibri"/>
        </w:rPr>
        <w:t>закупівель</w:t>
      </w:r>
      <w:proofErr w:type="spellEnd"/>
      <w:r>
        <w:rPr>
          <w:rFonts w:eastAsia="Calibr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даний Договір про нижче наведене:</w:t>
      </w:r>
    </w:p>
    <w:p w:rsidR="007D173C" w:rsidRDefault="007D173C" w:rsidP="007D173C">
      <w:pPr>
        <w:jc w:val="center"/>
      </w:pPr>
      <w:r>
        <w:rPr>
          <w:b/>
          <w:bCs/>
        </w:rPr>
        <w:t>1. ПРЕДМЕТ ДОГОВОРУ</w:t>
      </w:r>
    </w:p>
    <w:p w:rsidR="007D173C" w:rsidRDefault="007D173C" w:rsidP="007D173C">
      <w:pPr>
        <w:widowControl w:val="0"/>
        <w:autoSpaceDE w:val="0"/>
        <w:autoSpaceDN w:val="0"/>
        <w:adjustRightInd w:val="0"/>
        <w:jc w:val="both"/>
      </w:pPr>
      <w:r>
        <w:t xml:space="preserve">1.1. Постачальник зобов’язується поставити Замовникові товари  ДК 021:2015: 15110000-2 - М’ясо (м'ясо свинини  (ДК 021:2015:15113000-3 – Свинина),  </w:t>
      </w:r>
      <w:proofErr w:type="spellStart"/>
      <w:r>
        <w:t>бедро</w:t>
      </w:r>
      <w:proofErr w:type="spellEnd"/>
      <w:r>
        <w:t xml:space="preserve"> куряче (ДК 021:2015:15112130-6 - Курятина), філе куряче (ДК 021:2015:15112130-6 - Курятина)відповідно до Специфікації (Додаток №1), що додається до цього Договору і є його невід’ємною частиною, а Замовник — прийняти і оплатити такі товари на умовах Договору. </w:t>
      </w:r>
    </w:p>
    <w:p w:rsidR="007D173C" w:rsidRDefault="007D173C" w:rsidP="007D173C">
      <w:pPr>
        <w:widowControl w:val="0"/>
        <w:autoSpaceDE w:val="0"/>
        <w:autoSpaceDN w:val="0"/>
        <w:adjustRightInd w:val="0"/>
        <w:jc w:val="both"/>
      </w:pPr>
      <w:r>
        <w:t>1.2. Обсяги закупівлі товарів можуть бути зменшені залежно від реального фінансування видатків та узгодженого  зменшення сторонами ціни договору про закупівлю.</w:t>
      </w:r>
    </w:p>
    <w:p w:rsidR="007D173C" w:rsidRDefault="007D173C" w:rsidP="007D173C">
      <w:pPr>
        <w:widowControl w:val="0"/>
        <w:autoSpaceDE w:val="0"/>
        <w:autoSpaceDN w:val="0"/>
        <w:adjustRightInd w:val="0"/>
        <w:jc w:val="both"/>
        <w:rPr>
          <w:rFonts w:eastAsia="Calibri"/>
          <w:b/>
        </w:rPr>
      </w:pPr>
      <w:r>
        <w:t xml:space="preserve">1.3. </w:t>
      </w:r>
      <w:r>
        <w:rPr>
          <w:rFonts w:eastAsia="Calibri"/>
        </w:rPr>
        <w:t>Товар належать Постачальнику на праві власності, не закладений, не арештований і не є предметом позовних вимог третіх осіб, якщо інше не узгоджено сторонами додатково.</w:t>
      </w:r>
    </w:p>
    <w:p w:rsidR="007D173C" w:rsidRDefault="007D173C" w:rsidP="007D173C">
      <w:pPr>
        <w:jc w:val="center"/>
      </w:pPr>
      <w:r>
        <w:rPr>
          <w:b/>
          <w:bCs/>
        </w:rPr>
        <w:t>2. ЯКІСТЬ ТОВАРІВ, РОБІТ ЧИ ПОСЛУГ</w:t>
      </w:r>
    </w:p>
    <w:p w:rsidR="007D173C" w:rsidRDefault="007D173C" w:rsidP="007D173C">
      <w:pPr>
        <w:jc w:val="both"/>
        <w:rPr>
          <w:rFonts w:eastAsia="Calibri"/>
        </w:rPr>
      </w:pPr>
      <w:r>
        <w:rPr>
          <w:rFonts w:eastAsia="Calibri"/>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rsidR="007D173C" w:rsidRDefault="007D173C" w:rsidP="007D173C">
      <w:pPr>
        <w:jc w:val="both"/>
        <w:rPr>
          <w:rFonts w:eastAsia="Calibri"/>
        </w:rPr>
      </w:pPr>
      <w:r>
        <w:rPr>
          <w:rFonts w:eastAsia="Calibri"/>
        </w:rPr>
        <w:t xml:space="preserve">2.2. Тара, упаковка: товар повинен передаватися Замовнику в упаковці, яка відповідає характеру товару, забезпечує цілісність та збереження його якості під час перевезення. Кожна одиниця упаковки забезпечується маркувальним ярликом: назва  продукту, назва та адреса підприємства-виробника, вага </w:t>
      </w:r>
      <w:proofErr w:type="spellStart"/>
      <w:r>
        <w:rPr>
          <w:rFonts w:eastAsia="Calibri"/>
        </w:rPr>
        <w:t>нетто</w:t>
      </w:r>
      <w:proofErr w:type="spellEnd"/>
      <w:r>
        <w:rPr>
          <w:rFonts w:eastAsia="Calibri"/>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7D173C" w:rsidRDefault="007D173C" w:rsidP="007D173C">
      <w:pPr>
        <w:jc w:val="both"/>
        <w:rPr>
          <w:rFonts w:eastAsia="Calibri"/>
        </w:rPr>
      </w:pPr>
      <w:r>
        <w:rPr>
          <w:rFonts w:eastAsia="Calibri"/>
        </w:rPr>
        <w:t xml:space="preserve">2.3.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7D173C" w:rsidRDefault="007D173C" w:rsidP="007D173C">
      <w:pPr>
        <w:jc w:val="both"/>
        <w:rPr>
          <w:rFonts w:eastAsia="Calibri"/>
        </w:rPr>
      </w:pPr>
      <w:r>
        <w:rPr>
          <w:rFonts w:eastAsia="Calibri"/>
        </w:rPr>
        <w:t xml:space="preserve">2.4. Кожна партія товару (продукції) має супроводжуватися наступними документами: </w:t>
      </w:r>
    </w:p>
    <w:p w:rsidR="007D173C" w:rsidRDefault="007D173C" w:rsidP="007D173C">
      <w:pPr>
        <w:jc w:val="both"/>
        <w:rPr>
          <w:rFonts w:eastAsia="Calibri"/>
        </w:rPr>
      </w:pPr>
      <w:r>
        <w:rPr>
          <w:rFonts w:eastAsia="Calibri"/>
        </w:rPr>
        <w:t>- накладна;</w:t>
      </w:r>
    </w:p>
    <w:p w:rsidR="007D173C" w:rsidRDefault="007D173C" w:rsidP="007D173C">
      <w:pPr>
        <w:jc w:val="both"/>
        <w:rPr>
          <w:rFonts w:eastAsia="Calibri"/>
        </w:rPr>
      </w:pPr>
      <w:r>
        <w:rPr>
          <w:rFonts w:eastAsia="Calibri"/>
        </w:rPr>
        <w:t xml:space="preserve">- декларація виробника/ або посвідчення про якість/або інший документ про якість. </w:t>
      </w:r>
    </w:p>
    <w:p w:rsidR="007D173C" w:rsidRDefault="007D173C" w:rsidP="007D173C">
      <w:pPr>
        <w:jc w:val="both"/>
        <w:rPr>
          <w:rFonts w:eastAsia="Calibri"/>
        </w:rPr>
      </w:pPr>
      <w:r>
        <w:rPr>
          <w:rFonts w:eastAsia="Calibri"/>
        </w:rPr>
        <w:t>2.5. 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rsidR="007D173C" w:rsidRDefault="007D173C" w:rsidP="007D173C">
      <w:pPr>
        <w:jc w:val="both"/>
        <w:rPr>
          <w:rFonts w:eastAsia="Calibri"/>
        </w:rPr>
      </w:pPr>
      <w:r>
        <w:rPr>
          <w:rFonts w:eastAsia="Calibri"/>
        </w:rPr>
        <w:t>2.6. Залишок терміну зберігання на момент поставки товару повинен бути не меншим 90% від терміну зберігання, який встановлений виробником.</w:t>
      </w:r>
    </w:p>
    <w:p w:rsidR="007D173C" w:rsidRDefault="007D173C" w:rsidP="007D173C">
      <w:pPr>
        <w:jc w:val="both"/>
        <w:rPr>
          <w:rFonts w:eastAsia="Calibri"/>
        </w:rPr>
      </w:pPr>
      <w:r>
        <w:rPr>
          <w:rFonts w:eastAsia="Calibri"/>
        </w:rPr>
        <w:t>2.7. Товар повинен передаватися в неушкодженій упаковці, яка забезпечує цілісність товару та збереження його якості під час транспортування.</w:t>
      </w:r>
    </w:p>
    <w:p w:rsidR="007D173C" w:rsidRDefault="007D173C" w:rsidP="007D173C">
      <w:pPr>
        <w:jc w:val="both"/>
        <w:rPr>
          <w:rFonts w:eastAsia="Calibri"/>
        </w:rPr>
      </w:pPr>
      <w:r>
        <w:rPr>
          <w:rFonts w:eastAsia="Calibri"/>
        </w:rPr>
        <w:t xml:space="preserve">2.8. Доставка продукції повинна постачатись автотранспортом 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w:t>
      </w:r>
      <w:r>
        <w:rPr>
          <w:rFonts w:eastAsia="Calibri"/>
        </w:rPr>
        <w:lastRenderedPageBreak/>
        <w:t>медичну книжку з результатами проходження обов'язкових медичних оглядів та бути забезпеченими санітарним одягом (халатом, рукавицями).</w:t>
      </w:r>
    </w:p>
    <w:p w:rsidR="007D173C" w:rsidRDefault="007D173C" w:rsidP="007D173C">
      <w:pPr>
        <w:jc w:val="both"/>
        <w:rPr>
          <w:rFonts w:eastAsia="Calibri"/>
        </w:rPr>
      </w:pPr>
      <w:r>
        <w:rPr>
          <w:rFonts w:eastAsia="Calibri"/>
        </w:rPr>
        <w:t>2.9.У разі виявлення товару, що не відповідної якості Постачальник зобов’язується замінити його впродовж 2-х годин.</w:t>
      </w:r>
    </w:p>
    <w:p w:rsidR="007D173C" w:rsidRDefault="007D173C" w:rsidP="007D173C">
      <w:pPr>
        <w:jc w:val="both"/>
        <w:rPr>
          <w:rFonts w:eastAsia="Calibri"/>
        </w:rPr>
      </w:pPr>
      <w:r>
        <w:rPr>
          <w:rFonts w:eastAsia="Calibri"/>
        </w:rPr>
        <w:t xml:space="preserve">2.10. Замовник має право на проведення лабораторних випробувань та експертних досліджень. В такому випадку Постачальник зобов’язаний вжити заходів щодо забезпечення доставки проб товару до лабораторії та здійснити оплату відповідних лабораторних досліджень, протягом 1 – го робочого дня з дня повідомлення  Замовника про </w:t>
      </w:r>
      <w:proofErr w:type="spellStart"/>
      <w:r>
        <w:rPr>
          <w:rFonts w:eastAsia="Calibri"/>
        </w:rPr>
        <w:t>необхдність</w:t>
      </w:r>
      <w:proofErr w:type="spellEnd"/>
      <w:r>
        <w:rPr>
          <w:rFonts w:eastAsia="Calibri"/>
        </w:rPr>
        <w:t xml:space="preserve"> проведення таких випробувань тощо. Замовник залишає за собою право вибору лабораторії, що здійснюватиме дослідження товару щодо технічних та якісних показників.</w:t>
      </w:r>
    </w:p>
    <w:p w:rsidR="007D173C" w:rsidRDefault="007D173C" w:rsidP="007D173C">
      <w:pPr>
        <w:jc w:val="center"/>
        <w:rPr>
          <w:b/>
          <w:bCs/>
        </w:rPr>
      </w:pPr>
      <w:r>
        <w:rPr>
          <w:b/>
          <w:bCs/>
        </w:rPr>
        <w:t>3. ЦІНА ДОГОВОРУ</w:t>
      </w:r>
    </w:p>
    <w:p w:rsidR="007D173C" w:rsidRDefault="007D173C" w:rsidP="007D173C">
      <w:r>
        <w:t>3.1.  Ціна  Договору становить  ________________грн.</w:t>
      </w:r>
    </w:p>
    <w:p w:rsidR="007D173C" w:rsidRDefault="007D173C" w:rsidP="007D173C">
      <w:pPr>
        <w:jc w:val="both"/>
      </w:pPr>
      <w:r>
        <w:t xml:space="preserve">3.2. Договірні зобов’язання в цьому розділі виникають в залежності від реального фінансування видатків </w:t>
      </w:r>
    </w:p>
    <w:p w:rsidR="007D173C" w:rsidRDefault="007D173C" w:rsidP="007D173C">
      <w:pPr>
        <w:jc w:val="both"/>
      </w:pPr>
      <w:r>
        <w:t xml:space="preserve">Платіжні зобов’язання виникають при наявності відповідного фінансування. </w:t>
      </w:r>
    </w:p>
    <w:p w:rsidR="007D173C" w:rsidRDefault="007D173C" w:rsidP="007D173C">
      <w:pPr>
        <w:jc w:val="both"/>
      </w:pPr>
      <w:r>
        <w:t>Ціна Договору може бути зменшена за взаємною згодою Сторін, яка узгоджується  Додатковою угодою до договору.</w:t>
      </w:r>
    </w:p>
    <w:p w:rsidR="007D173C" w:rsidRDefault="007D173C" w:rsidP="007D173C">
      <w:pPr>
        <w:jc w:val="both"/>
      </w:pPr>
      <w:r>
        <w:t>3.3. Істотні умови договору про закупівлю не можуть змінюватися після його підписання до виконання зобов’язань сторонами в повному обсязі, крім випадків (пункт 19 Особливостей):</w:t>
      </w:r>
    </w:p>
    <w:p w:rsidR="007D173C" w:rsidRDefault="007D173C" w:rsidP="007D173C">
      <w:pPr>
        <w:shd w:val="clear" w:color="auto" w:fill="FFFFFF"/>
        <w:jc w:val="both"/>
      </w:pPr>
      <w:r>
        <w:t>зменшення обсягів закупівлі, зокрема з урахуванням фактичного обсягу видатків замовника;</w:t>
      </w:r>
    </w:p>
    <w:p w:rsidR="007D173C" w:rsidRDefault="007D173C" w:rsidP="007D173C">
      <w:pPr>
        <w:shd w:val="clear" w:color="auto" w:fill="FFFFFF"/>
        <w:jc w:val="both"/>
      </w:pPr>
      <w:r>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rPr>
        <w:t>пропорційно</w:t>
      </w:r>
      <w:proofErr w:type="spellEnd"/>
      <w:r>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173C" w:rsidRDefault="007D173C" w:rsidP="007D173C">
      <w:pPr>
        <w:shd w:val="clear" w:color="auto" w:fill="FFFFFF"/>
        <w:jc w:val="both"/>
      </w:pPr>
      <w:r>
        <w:t>покращення якості предмета закупівлі за умови, що таке покращення не призведе до збільшення суми, визначеної в договорі про закупівлю;</w:t>
      </w:r>
    </w:p>
    <w:p w:rsidR="007D173C" w:rsidRDefault="007D173C" w:rsidP="007D173C">
      <w:pPr>
        <w:shd w:val="clear" w:color="auto" w:fill="FFFFFF"/>
        <w:jc w:val="both"/>
      </w:pPr>
      <w: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173C" w:rsidRDefault="007D173C" w:rsidP="007D173C">
      <w:pPr>
        <w:shd w:val="clear" w:color="auto" w:fill="FFFFFF"/>
        <w:jc w:val="both"/>
      </w:pPr>
      <w:r>
        <w:t>погодження зміни ціни в договорі про закупівлю в бік зменшення (без зміни кількості (обсягу) та якості товарів, робіт і послуг);</w:t>
      </w:r>
    </w:p>
    <w:p w:rsidR="007D173C" w:rsidRDefault="007D173C" w:rsidP="007D173C">
      <w:pPr>
        <w:shd w:val="clear" w:color="auto" w:fill="FFFFFF"/>
        <w:jc w:val="both"/>
      </w:pPr>
      <w: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7D173C" w:rsidRDefault="007D173C" w:rsidP="007D173C">
      <w:pPr>
        <w:shd w:val="clear" w:color="auto" w:fill="FFFFFF"/>
        <w:jc w:val="both"/>
      </w:pPr>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173C" w:rsidRDefault="007D173C" w:rsidP="007D173C">
      <w:pPr>
        <w:shd w:val="clear" w:color="auto" w:fill="FFFFFF"/>
        <w:jc w:val="both"/>
      </w:pPr>
      <w:r>
        <w:t xml:space="preserve"> зміни умов у зв’язку із застосуванням положень </w:t>
      </w:r>
      <w:hyperlink r:id="rId5" w:anchor="n1778" w:history="1">
        <w:r>
          <w:rPr>
            <w:rStyle w:val="a3"/>
          </w:rPr>
          <w:t>частини шостої</w:t>
        </w:r>
      </w:hyperlink>
      <w:r>
        <w:t xml:space="preserve">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173C" w:rsidRDefault="007D173C" w:rsidP="007D173C">
      <w:pPr>
        <w:shd w:val="clear" w:color="auto" w:fill="FFFFFF"/>
        <w:jc w:val="both"/>
        <w:textAlignment w:val="baseline"/>
        <w:rPr>
          <w:rFonts w:eastAsia="Calibri"/>
        </w:rPr>
      </w:pPr>
      <w:r>
        <w:rPr>
          <w:rFonts w:eastAsia="Calibri"/>
        </w:rPr>
        <w:t>3.4. Будь-які зміни до договору оформлюються шляхом укладання додаткової угоди до договору.</w:t>
      </w:r>
    </w:p>
    <w:p w:rsidR="007D173C" w:rsidRDefault="007D173C" w:rsidP="007D173C">
      <w:pPr>
        <w:shd w:val="clear" w:color="auto" w:fill="FFFFFF"/>
        <w:jc w:val="both"/>
        <w:textAlignment w:val="baseline"/>
        <w:rPr>
          <w:b/>
          <w:bCs/>
        </w:rPr>
      </w:pPr>
    </w:p>
    <w:p w:rsidR="007D173C" w:rsidRDefault="007D173C" w:rsidP="007D173C">
      <w:pPr>
        <w:jc w:val="center"/>
        <w:rPr>
          <w:b/>
          <w:bCs/>
        </w:rPr>
      </w:pPr>
      <w:r>
        <w:rPr>
          <w:b/>
          <w:bCs/>
        </w:rPr>
        <w:lastRenderedPageBreak/>
        <w:t>4. ПОРЯДОК ЗДІЙСНЕННЯ ОПЛАТИ</w:t>
      </w:r>
    </w:p>
    <w:p w:rsidR="007D173C" w:rsidRDefault="007D173C" w:rsidP="007D173C">
      <w:pPr>
        <w:jc w:val="both"/>
      </w:pPr>
      <w:r>
        <w:t xml:space="preserve">4.1. Розрахунки проводяться протягом 20 (двадцяти) робочих днів, шляхом оплати Замовником після надання  Постачальником  видаткової накладної,  рахунку-фактури на оплату товару та документу, що відповідно до чинного законодавства підтверджує відповідність поставленого товару технічним, кількісним та якісним характеристикам, що визначені цим Договором. </w:t>
      </w:r>
    </w:p>
    <w:p w:rsidR="007D173C" w:rsidRDefault="007D173C" w:rsidP="007D173C">
      <w:pPr>
        <w:jc w:val="both"/>
      </w:pPr>
      <w:r>
        <w:t xml:space="preserve">4.2. Усі платіжні документи за договором оформлюються з дотриманням вимог законодавства. </w:t>
      </w:r>
    </w:p>
    <w:p w:rsidR="007D173C" w:rsidRDefault="007D173C" w:rsidP="007D173C">
      <w:pPr>
        <w:jc w:val="both"/>
      </w:pPr>
      <w:r>
        <w:t>4.3. До накладної додається рахунок.</w:t>
      </w:r>
    </w:p>
    <w:p w:rsidR="007D173C" w:rsidRDefault="007D173C" w:rsidP="007D173C">
      <w:pPr>
        <w:shd w:val="clear" w:color="auto" w:fill="FFFFFF"/>
        <w:jc w:val="both"/>
      </w:pPr>
      <w:r>
        <w:t xml:space="preserve">4.4. Зобов’язання замовника щодо сплати коштів (здійснення платежів) за цим договором настає лише за наявності у Замовника відповідного фінансування. </w:t>
      </w:r>
    </w:p>
    <w:p w:rsidR="007D173C" w:rsidRDefault="007D173C" w:rsidP="007D173C">
      <w:pPr>
        <w:jc w:val="center"/>
        <w:rPr>
          <w:b/>
          <w:bCs/>
        </w:rPr>
      </w:pPr>
      <w:r>
        <w:rPr>
          <w:b/>
          <w:bCs/>
        </w:rPr>
        <w:t>5. ПОСТАВКА ТОВАРІВ, НАДАННЯ ПОСЛУГ ЧИ ВИКОНАННЯ РОБІТ</w:t>
      </w:r>
    </w:p>
    <w:p w:rsidR="007D173C" w:rsidRDefault="007D173C" w:rsidP="007D173C">
      <w:pPr>
        <w:jc w:val="both"/>
      </w:pPr>
      <w:r>
        <w:t>5.1. Строк поставки товарів до 31 грудня 2024 року;</w:t>
      </w:r>
      <w:r>
        <w:rPr>
          <w:rFonts w:eastAsia="Calibri"/>
        </w:rPr>
        <w:t xml:space="preserve"> Поставка товару (предмету закупівлі) буде проходити партіями (частинами), відповідно до поданих заявок від замовника в письмовому або телефонному режимі (заявка буде надаватись за кілька днів до поставки товару). В заявці буде зазначатись кількість товару та термін поставки. На кожну партію повинна бути видаткова накладна та декларація виробника/ або посвідчення про якість/або інший документ про якість.</w:t>
      </w:r>
    </w:p>
    <w:p w:rsidR="007D173C" w:rsidRDefault="007D173C" w:rsidP="007D173C">
      <w:pPr>
        <w:jc w:val="both"/>
      </w:pPr>
      <w:r>
        <w:t xml:space="preserve">5.2. Постачальник постачає товар за </w:t>
      </w:r>
      <w:proofErr w:type="spellStart"/>
      <w:r>
        <w:t>адресою</w:t>
      </w:r>
      <w:proofErr w:type="spellEnd"/>
      <w:r>
        <w:t xml:space="preserve">: Україна, 80400, Львівська обл., Кам'янка-Бузький р-н, місто Кам'янка-Бузька,  </w:t>
      </w:r>
      <w:r>
        <w:rPr>
          <w:bCs/>
          <w:iCs/>
        </w:rPr>
        <w:t>вул. Героїв Небесної Сотні</w:t>
      </w:r>
      <w:r>
        <w:t>, будинок 49</w:t>
      </w:r>
    </w:p>
    <w:p w:rsidR="007D173C" w:rsidRDefault="007D173C" w:rsidP="007D173C">
      <w:pPr>
        <w:jc w:val="both"/>
      </w:pPr>
      <w:r>
        <w:t xml:space="preserve"> Поставка здійснюється транспортом Постачальника. </w:t>
      </w:r>
      <w:proofErr w:type="spellStart"/>
      <w:r>
        <w:t>Завантажувально</w:t>
      </w:r>
      <w:proofErr w:type="spellEnd"/>
      <w:r>
        <w:t>-розвантажувальні роботи відбуватимуться  за рахунок Постачальника.</w:t>
      </w:r>
    </w:p>
    <w:p w:rsidR="007D173C" w:rsidRDefault="007D173C" w:rsidP="007D173C">
      <w:pPr>
        <w:jc w:val="center"/>
      </w:pPr>
      <w:r>
        <w:rPr>
          <w:b/>
          <w:bCs/>
        </w:rPr>
        <w:t>6. ПРАВА ТА ОБОВ’ЯЗКИ СТОРІН</w:t>
      </w:r>
    </w:p>
    <w:p w:rsidR="007D173C" w:rsidRDefault="007D173C" w:rsidP="007D173C">
      <w:pPr>
        <w:jc w:val="both"/>
      </w:pPr>
      <w:r>
        <w:t>6.1. Замовник зобов’язаний:</w:t>
      </w:r>
    </w:p>
    <w:p w:rsidR="007D173C" w:rsidRDefault="007D173C" w:rsidP="007D173C">
      <w:pPr>
        <w:jc w:val="both"/>
      </w:pPr>
      <w:r>
        <w:t>6.1.1. Своєчасно та в повному обсязі сплатити за поставлений товар.</w:t>
      </w:r>
    </w:p>
    <w:p w:rsidR="007D173C" w:rsidRDefault="007D173C" w:rsidP="007D173C">
      <w:pPr>
        <w:jc w:val="both"/>
      </w:pPr>
      <w:r>
        <w:t>6.1.2. 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rsidR="007D173C" w:rsidRDefault="007D173C" w:rsidP="007D173C">
      <w:pPr>
        <w:jc w:val="both"/>
      </w:pPr>
      <w:r>
        <w:t>6.2. Замовник має право:</w:t>
      </w:r>
    </w:p>
    <w:p w:rsidR="007D173C" w:rsidRDefault="007D173C" w:rsidP="007D173C">
      <w:pPr>
        <w:jc w:val="both"/>
      </w:pPr>
      <w: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10 календарних днів з дня настання підстав для розірвання договору;</w:t>
      </w:r>
    </w:p>
    <w:p w:rsidR="007D173C" w:rsidRDefault="007D173C" w:rsidP="007D173C">
      <w:pPr>
        <w:jc w:val="both"/>
      </w:pPr>
      <w: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7D173C" w:rsidRDefault="007D173C" w:rsidP="007D173C">
      <w:pPr>
        <w:jc w:val="both"/>
      </w:pPr>
      <w:r>
        <w:t>6.2.3. Повернути рахунок та накладну виконавцеві без здійснення оплати в разі неналежного оформлення документів, зазначених у пунктах 4.1, 4.2. і 4.3. договору (відсутність печатки, підписів тощо).</w:t>
      </w:r>
    </w:p>
    <w:p w:rsidR="007D173C" w:rsidRDefault="007D173C" w:rsidP="007D173C">
      <w:pPr>
        <w:jc w:val="both"/>
      </w:pPr>
      <w:r>
        <w:t xml:space="preserve">6.2.4. У разі поставки Постачальником товару технічні, якісні та кількісні характеристики якого не відповідають умовам визначеним в Договорі або поставка неякісного товару, Замовник має право достроково розірвати цей договір, повідомивши про це постачальника у строк не пізніше ніж за 5 календарних днів з дня настання підстав для розірвання договору; </w:t>
      </w:r>
    </w:p>
    <w:p w:rsidR="007D173C" w:rsidRDefault="007D173C" w:rsidP="007D173C">
      <w:pPr>
        <w:jc w:val="both"/>
      </w:pPr>
      <w:r>
        <w:t>6.3. Постачальник зобов’язаний:</w:t>
      </w:r>
    </w:p>
    <w:p w:rsidR="007D173C" w:rsidRDefault="007D173C" w:rsidP="007D173C">
      <w:pPr>
        <w:jc w:val="both"/>
      </w:pPr>
      <w:r>
        <w:t xml:space="preserve">6.3.1. Забезпечити поставку товарів у строки, встановлені цим договором, у місце визначене Замовником, у кількості та на умовах згідно вимог Замовника. </w:t>
      </w:r>
    </w:p>
    <w:p w:rsidR="007D173C" w:rsidRDefault="007D173C" w:rsidP="007D173C">
      <w:pPr>
        <w:jc w:val="both"/>
      </w:pPr>
      <w:r>
        <w:t>6.3.2. Забезпечити поставку товарів, якість яких відповідає умовам, встановленим цим договором.</w:t>
      </w:r>
    </w:p>
    <w:p w:rsidR="007D173C" w:rsidRDefault="007D173C" w:rsidP="007D173C">
      <w:pPr>
        <w:jc w:val="both"/>
      </w:pPr>
      <w:r>
        <w:t>6.4. Постачальник має право:</w:t>
      </w:r>
    </w:p>
    <w:p w:rsidR="007D173C" w:rsidRDefault="007D173C" w:rsidP="007D173C">
      <w:pPr>
        <w:jc w:val="both"/>
      </w:pPr>
      <w:r>
        <w:t>6.4.1. Своєчасно та в повному обсязі отримати плату за поставлений товар після перевірки технічних,  якісних та кількісних характеристик поставленого товару в установленому законом порядку;</w:t>
      </w:r>
    </w:p>
    <w:p w:rsidR="007D173C" w:rsidRDefault="007D173C" w:rsidP="007D173C">
      <w:pPr>
        <w:jc w:val="both"/>
      </w:pPr>
      <w:r>
        <w:t>6.4.2. На дострокову поставку товару за письмовим погодженням замовника;</w:t>
      </w:r>
    </w:p>
    <w:p w:rsidR="007D173C" w:rsidRDefault="007D173C" w:rsidP="007D173C">
      <w:pPr>
        <w:jc w:val="center"/>
      </w:pPr>
      <w:r>
        <w:rPr>
          <w:b/>
          <w:bCs/>
        </w:rPr>
        <w:t>7. ВІДПОВІДАЛЬНІСТЬ СТОРІН</w:t>
      </w:r>
    </w:p>
    <w:p w:rsidR="007D173C" w:rsidRDefault="007D173C" w:rsidP="007D173C">
      <w:pPr>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7D173C" w:rsidRDefault="007D173C" w:rsidP="007D173C">
      <w:pPr>
        <w:jc w:val="both"/>
      </w:pPr>
      <w:r>
        <w:t>7.2. У разі затримки поставок, поставок не в повному обсязі або поставки товару неналежної якості, Постачальник сплачує неустойку.</w:t>
      </w:r>
    </w:p>
    <w:p w:rsidR="007D173C" w:rsidRDefault="007D173C" w:rsidP="007D173C">
      <w:pPr>
        <w:jc w:val="both"/>
      </w:pPr>
      <w:r>
        <w:lastRenderedPageBreak/>
        <w:t>7.3. Днем отримання товару вважається день підписання сторонами або їх уповноваженими представниками відповідних документів.</w:t>
      </w:r>
    </w:p>
    <w:p w:rsidR="007D173C" w:rsidRDefault="007D173C" w:rsidP="007D173C">
      <w:pPr>
        <w:jc w:val="both"/>
      </w:pPr>
      <w:r>
        <w:t>7.4. У разі  поставки товару технічні, якісні та кількісні характеристики якого не відповідають умовам визначеним в Договорі, Постачальник зобов’язаний сплатити штраф у розмірі 25% від ціни договору та замінити неякісний товар на протязі 3 робочих днів з дня виявлення недоліків або з дня отримання відповідного повідомлення про виявлення недоліків.</w:t>
      </w:r>
    </w:p>
    <w:p w:rsidR="007D173C" w:rsidRDefault="007D173C" w:rsidP="007D173C">
      <w:pPr>
        <w:jc w:val="both"/>
      </w:pPr>
      <w:r>
        <w:t>7.5. У разі  несвоєчасної заміни неякісного товару, Постачальник сплачує штраф у розмірі 50% від ціни договору за кожний день затримки заміни товару.</w:t>
      </w:r>
    </w:p>
    <w:p w:rsidR="007D173C" w:rsidRDefault="007D173C" w:rsidP="007D173C">
      <w:pPr>
        <w:jc w:val="both"/>
      </w:pPr>
      <w:r>
        <w:t>7.6. Сплата пені не звільняє Сторону від виконання прийнятих на себе зобов’язань по Договору поставки.</w:t>
      </w:r>
    </w:p>
    <w:p w:rsidR="007D173C" w:rsidRDefault="007D173C" w:rsidP="007D173C">
      <w:pPr>
        <w:jc w:val="center"/>
      </w:pPr>
      <w:r>
        <w:rPr>
          <w:b/>
          <w:bCs/>
        </w:rPr>
        <w:t>8. ОБСТАВИНИ НЕПЕРЕБОРНОЇ СИЛИ</w:t>
      </w:r>
    </w:p>
    <w:p w:rsidR="007D173C" w:rsidRDefault="007D173C" w:rsidP="007D173C">
      <w:pPr>
        <w:jc w:val="both"/>
      </w:pPr>
      <w:r>
        <w:rPr>
          <w:b/>
          <w:bCs/>
        </w:rPr>
        <w:t xml:space="preserve"> </w:t>
      </w:r>
      <w: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7D173C" w:rsidRDefault="007D173C" w:rsidP="007D173C">
      <w:pPr>
        <w:jc w:val="both"/>
      </w:pPr>
      <w: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7D173C" w:rsidRDefault="007D173C" w:rsidP="007D173C">
      <w:pPr>
        <w:jc w:val="both"/>
      </w:pPr>
      <w:r>
        <w:t>8.3. Доказом виникнення обставин непереборної сили та строку їх дії є довідка, яка видається  уповноваженим органом.</w:t>
      </w:r>
    </w:p>
    <w:p w:rsidR="007D173C" w:rsidRDefault="007D173C" w:rsidP="007D173C">
      <w:pPr>
        <w:jc w:val="both"/>
      </w:pPr>
      <w:r>
        <w:t xml:space="preserve">8.4. У разі коли строк дії обставин непереборної сили продовжується більш як 180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7D173C" w:rsidRDefault="007D173C" w:rsidP="007D173C">
      <w:pPr>
        <w:jc w:val="center"/>
      </w:pPr>
      <w:r>
        <w:rPr>
          <w:b/>
          <w:bCs/>
        </w:rPr>
        <w:t>9. ВИРІШЕННЯ СПОРІВ</w:t>
      </w:r>
    </w:p>
    <w:p w:rsidR="007D173C" w:rsidRDefault="007D173C" w:rsidP="007D173C">
      <w:pPr>
        <w:jc w:val="both"/>
      </w:pPr>
      <w:r>
        <w:t>9.1. У випадку виникнення спорів або розбіжностей Сторони зобов’язуються вирішувати  їх  шляхом  взаємних  переговорів  та  консультацій.</w:t>
      </w:r>
    </w:p>
    <w:p w:rsidR="007D173C" w:rsidRDefault="007D173C" w:rsidP="007D173C">
      <w:pPr>
        <w:jc w:val="both"/>
      </w:pPr>
      <w:r>
        <w:t>9.2. У разі недосягнення сторонами згоди спори (розбіжності) вирішуються у судовому порядку.</w:t>
      </w:r>
    </w:p>
    <w:p w:rsidR="007D173C" w:rsidRDefault="007D173C" w:rsidP="007D173C">
      <w:pPr>
        <w:jc w:val="center"/>
      </w:pPr>
      <w:r>
        <w:rPr>
          <w:b/>
          <w:bCs/>
        </w:rPr>
        <w:t>10. СТРОК ДІЇ ДОГОВОРУ</w:t>
      </w:r>
    </w:p>
    <w:p w:rsidR="007D173C" w:rsidRDefault="007D173C" w:rsidP="007D173C">
      <w:pPr>
        <w:jc w:val="both"/>
      </w:pPr>
      <w:r>
        <w:t>10.1. Договір укладається і підписується у двох примірниках, що мають однакову юридичну силу.</w:t>
      </w:r>
    </w:p>
    <w:p w:rsidR="007D173C" w:rsidRDefault="007D173C" w:rsidP="007D173C">
      <w:pPr>
        <w:jc w:val="both"/>
      </w:pPr>
      <w:r>
        <w:t>10.2. Договір набирає чинності з дня його підписання сторонами і діє до 31.12.2024 року, але в будь-якому разі до повного його виконання.</w:t>
      </w:r>
    </w:p>
    <w:p w:rsidR="007D173C" w:rsidRDefault="007D173C" w:rsidP="007D173C">
      <w:pPr>
        <w:jc w:val="center"/>
      </w:pPr>
      <w:r>
        <w:rPr>
          <w:b/>
          <w:bCs/>
        </w:rPr>
        <w:t>11. ІНШІ УМОВИ</w:t>
      </w:r>
    </w:p>
    <w:p w:rsidR="007D173C" w:rsidRDefault="007D173C" w:rsidP="007D173C">
      <w:pPr>
        <w:jc w:val="both"/>
      </w:pPr>
      <w:r>
        <w:t>11.1. Дія Договору припиняється:</w:t>
      </w:r>
    </w:p>
    <w:p w:rsidR="007D173C" w:rsidRDefault="007D173C" w:rsidP="007D173C">
      <w:pPr>
        <w:numPr>
          <w:ilvl w:val="0"/>
          <w:numId w:val="1"/>
        </w:numPr>
        <w:ind w:left="0"/>
        <w:jc w:val="both"/>
      </w:pPr>
      <w:r>
        <w:t>повним виконанням Сторонами своїх зобов’язань за цим Договором;</w:t>
      </w:r>
    </w:p>
    <w:p w:rsidR="007D173C" w:rsidRDefault="007D173C" w:rsidP="007D173C">
      <w:pPr>
        <w:numPr>
          <w:ilvl w:val="0"/>
          <w:numId w:val="1"/>
        </w:numPr>
        <w:ind w:left="0"/>
        <w:jc w:val="both"/>
      </w:pPr>
      <w:r>
        <w:t>за згодою сторін;</w:t>
      </w:r>
    </w:p>
    <w:p w:rsidR="007D173C" w:rsidRDefault="007D173C" w:rsidP="007D173C">
      <w:pPr>
        <w:numPr>
          <w:ilvl w:val="0"/>
          <w:numId w:val="1"/>
        </w:numPr>
        <w:ind w:left="0"/>
        <w:jc w:val="both"/>
      </w:pPr>
      <w:r>
        <w:t>з інших підстав, передбачених чинним законодавством України.</w:t>
      </w:r>
    </w:p>
    <w:p w:rsidR="007D173C" w:rsidRDefault="007D173C" w:rsidP="007D173C">
      <w:pPr>
        <w:jc w:val="both"/>
      </w:pPr>
      <w:r>
        <w:t>11.2. Цей Договір може бути змінено та доповнено за згодою Сторін, а також в інших випадках, передбачених чинним законодавством  України.</w:t>
      </w:r>
    </w:p>
    <w:p w:rsidR="007D173C" w:rsidRDefault="007D173C" w:rsidP="007D173C">
      <w:pPr>
        <w:jc w:val="both"/>
      </w:pPr>
      <w: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7D173C" w:rsidRDefault="007D173C" w:rsidP="007D173C">
      <w:pPr>
        <w:jc w:val="both"/>
      </w:pPr>
      <w:r>
        <w:t>11.4. Жодна із сторін не має права передавати права та обов’язки за цим Договором третій особі без  отримання письмової згоди іншої  Сторони.</w:t>
      </w:r>
    </w:p>
    <w:p w:rsidR="007D173C" w:rsidRDefault="007D173C" w:rsidP="007D173C">
      <w:pPr>
        <w:jc w:val="center"/>
      </w:pPr>
      <w:r>
        <w:rPr>
          <w:b/>
          <w:bCs/>
        </w:rPr>
        <w:t>12. ДОДАТКИ ДО ДОГОВОРУ</w:t>
      </w:r>
    </w:p>
    <w:p w:rsidR="007D173C" w:rsidRDefault="007D173C" w:rsidP="007D173C">
      <w:pPr>
        <w:jc w:val="both"/>
      </w:pPr>
      <w:r>
        <w:t xml:space="preserve">12.1. Невід’ємною частиною договору є: </w:t>
      </w:r>
    </w:p>
    <w:p w:rsidR="007D173C" w:rsidRDefault="007D173C" w:rsidP="007D173C">
      <w:pPr>
        <w:jc w:val="both"/>
      </w:pPr>
      <w:r>
        <w:t>- Додаток №1 до Договору (специфікація).</w:t>
      </w:r>
    </w:p>
    <w:p w:rsidR="007D173C" w:rsidRDefault="007D173C" w:rsidP="007D173C">
      <w:pPr>
        <w:jc w:val="both"/>
      </w:pPr>
      <w:r>
        <w:t xml:space="preserve"> </w:t>
      </w:r>
    </w:p>
    <w:p w:rsidR="007D173C" w:rsidRDefault="007D173C" w:rsidP="007D173C">
      <w:pPr>
        <w:jc w:val="both"/>
      </w:pPr>
      <w:r>
        <w:t xml:space="preserve"> </w:t>
      </w:r>
    </w:p>
    <w:p w:rsidR="007D173C" w:rsidRDefault="007D173C" w:rsidP="007D173C">
      <w:pPr>
        <w:jc w:val="both"/>
      </w:pPr>
      <w:r>
        <w:t xml:space="preserve"> </w:t>
      </w:r>
    </w:p>
    <w:p w:rsidR="007D173C" w:rsidRDefault="007D173C" w:rsidP="007D173C">
      <w:pPr>
        <w:jc w:val="both"/>
      </w:pPr>
      <w:r>
        <w:t xml:space="preserve"> </w:t>
      </w:r>
    </w:p>
    <w:p w:rsidR="007D173C" w:rsidRDefault="007D173C" w:rsidP="007D173C">
      <w:pPr>
        <w:jc w:val="center"/>
        <w:rPr>
          <w:b/>
          <w:bCs/>
        </w:rPr>
      </w:pPr>
      <w:r>
        <w:rPr>
          <w:b/>
          <w:bCs/>
        </w:rPr>
        <w:t>13. МІСЦЕ ЗНАХОДЖЕННЯ ТА БАНКІВСЬКІ РЕКВІЗИТИ СТОРІН:</w:t>
      </w:r>
    </w:p>
    <w:p w:rsidR="007D173C" w:rsidRDefault="007D173C" w:rsidP="007D173C">
      <w:pPr>
        <w:jc w:val="center"/>
        <w:rPr>
          <w:b/>
          <w:bCs/>
        </w:rPr>
      </w:pPr>
      <w:bookmarkStart w:id="2" w:name="_GoBack"/>
      <w:bookmarkEnd w:id="2"/>
    </w:p>
    <w:p w:rsidR="007D173C" w:rsidRDefault="007D173C" w:rsidP="007D173C">
      <w:pPr>
        <w:autoSpaceDE w:val="0"/>
        <w:autoSpaceDN w:val="0"/>
        <w:adjustRightInd w:val="0"/>
        <w:jc w:val="right"/>
        <w:rPr>
          <w:rFonts w:eastAsia="Calibri"/>
          <w:b/>
        </w:rPr>
      </w:pPr>
      <w:r>
        <w:rPr>
          <w:rFonts w:eastAsia="Calibri"/>
          <w:b/>
        </w:rPr>
        <w:lastRenderedPageBreak/>
        <w:t>Додаток №1</w:t>
      </w:r>
    </w:p>
    <w:p w:rsidR="007D173C" w:rsidRDefault="007D173C" w:rsidP="007D173C">
      <w:pPr>
        <w:autoSpaceDE w:val="0"/>
        <w:autoSpaceDN w:val="0"/>
        <w:adjustRightInd w:val="0"/>
        <w:jc w:val="right"/>
        <w:rPr>
          <w:rFonts w:eastAsia="Calibri"/>
          <w:b/>
        </w:rPr>
      </w:pPr>
      <w:r>
        <w:rPr>
          <w:rFonts w:eastAsia="Calibri"/>
          <w:b/>
        </w:rPr>
        <w:t>до договору №_____ від___________202__р.</w:t>
      </w:r>
    </w:p>
    <w:p w:rsidR="007D173C" w:rsidRDefault="007D173C" w:rsidP="007D173C">
      <w:pPr>
        <w:jc w:val="center"/>
        <w:rPr>
          <w:rFonts w:eastAsia="Calibri"/>
          <w:b/>
        </w:rPr>
      </w:pPr>
      <w:r>
        <w:rPr>
          <w:rFonts w:eastAsia="Calibri"/>
          <w:b/>
        </w:rPr>
        <w:t xml:space="preserve">Специфікація </w:t>
      </w:r>
    </w:p>
    <w:tbl>
      <w:tblPr>
        <w:tblW w:w="0" w:type="auto"/>
        <w:tblCellMar>
          <w:top w:w="15" w:type="dxa"/>
          <w:left w:w="15" w:type="dxa"/>
          <w:bottom w:w="15" w:type="dxa"/>
          <w:right w:w="15" w:type="dxa"/>
        </w:tblCellMar>
        <w:tblLook w:val="04A0" w:firstRow="1" w:lastRow="0" w:firstColumn="1" w:lastColumn="0" w:noHBand="0" w:noVBand="1"/>
      </w:tblPr>
      <w:tblGrid>
        <w:gridCol w:w="615"/>
        <w:gridCol w:w="2910"/>
        <w:gridCol w:w="1275"/>
        <w:gridCol w:w="1290"/>
        <w:gridCol w:w="1665"/>
        <w:gridCol w:w="1440"/>
      </w:tblGrid>
      <w:tr w:rsidR="007D173C" w:rsidTr="007D173C">
        <w:tc>
          <w:tcPr>
            <w:tcW w:w="615" w:type="dxa"/>
            <w:tcBorders>
              <w:top w:val="outset" w:sz="6" w:space="0" w:color="auto"/>
              <w:left w:val="outset" w:sz="6" w:space="0" w:color="auto"/>
              <w:bottom w:val="outset" w:sz="6" w:space="0" w:color="auto"/>
              <w:right w:val="outset" w:sz="6" w:space="0" w:color="auto"/>
            </w:tcBorders>
            <w:hideMark/>
          </w:tcPr>
          <w:p w:rsidR="007D173C" w:rsidRDefault="007D173C">
            <w:pPr>
              <w:jc w:val="center"/>
              <w:rPr>
                <w:rFonts w:eastAsia="Calibri"/>
                <w:bCs/>
              </w:rPr>
            </w:pPr>
            <w:r>
              <w:rPr>
                <w:rFonts w:eastAsia="Calibri"/>
                <w:bCs/>
              </w:rPr>
              <w:t>№</w:t>
            </w:r>
          </w:p>
          <w:p w:rsidR="007D173C" w:rsidRDefault="007D173C">
            <w:pPr>
              <w:jc w:val="center"/>
              <w:rPr>
                <w:rFonts w:eastAsia="Calibri"/>
                <w:bCs/>
              </w:rPr>
            </w:pPr>
            <w:r>
              <w:rPr>
                <w:rFonts w:eastAsia="Calibri"/>
                <w:bCs/>
              </w:rPr>
              <w:t>п/п</w:t>
            </w:r>
          </w:p>
        </w:tc>
        <w:tc>
          <w:tcPr>
            <w:tcW w:w="2910" w:type="dxa"/>
            <w:tcBorders>
              <w:top w:val="outset" w:sz="6" w:space="0" w:color="auto"/>
              <w:left w:val="outset" w:sz="6" w:space="0" w:color="auto"/>
              <w:bottom w:val="outset" w:sz="6" w:space="0" w:color="auto"/>
              <w:right w:val="outset" w:sz="6" w:space="0" w:color="auto"/>
            </w:tcBorders>
            <w:hideMark/>
          </w:tcPr>
          <w:p w:rsidR="007D173C" w:rsidRDefault="007D173C">
            <w:pPr>
              <w:jc w:val="center"/>
              <w:rPr>
                <w:rFonts w:eastAsia="Calibri"/>
                <w:bCs/>
              </w:rPr>
            </w:pPr>
            <w:r>
              <w:rPr>
                <w:rFonts w:eastAsia="Calibri"/>
                <w:bCs/>
              </w:rPr>
              <w:t>Найменування товару</w:t>
            </w:r>
          </w:p>
        </w:tc>
        <w:tc>
          <w:tcPr>
            <w:tcW w:w="1275" w:type="dxa"/>
            <w:tcBorders>
              <w:top w:val="outset" w:sz="6" w:space="0" w:color="auto"/>
              <w:left w:val="outset" w:sz="6" w:space="0" w:color="auto"/>
              <w:bottom w:val="outset" w:sz="6" w:space="0" w:color="auto"/>
              <w:right w:val="outset" w:sz="6" w:space="0" w:color="auto"/>
            </w:tcBorders>
            <w:hideMark/>
          </w:tcPr>
          <w:p w:rsidR="007D173C" w:rsidRDefault="007D173C">
            <w:pPr>
              <w:jc w:val="center"/>
              <w:rPr>
                <w:rFonts w:eastAsia="Calibri"/>
                <w:bCs/>
              </w:rPr>
            </w:pPr>
            <w:r>
              <w:rPr>
                <w:rFonts w:eastAsia="Calibri"/>
                <w:bCs/>
              </w:rPr>
              <w:t>Одиниця виміру</w:t>
            </w:r>
          </w:p>
        </w:tc>
        <w:tc>
          <w:tcPr>
            <w:tcW w:w="1290" w:type="dxa"/>
            <w:tcBorders>
              <w:top w:val="outset" w:sz="6" w:space="0" w:color="auto"/>
              <w:left w:val="outset" w:sz="6" w:space="0" w:color="auto"/>
              <w:bottom w:val="outset" w:sz="6" w:space="0" w:color="auto"/>
              <w:right w:val="outset" w:sz="6" w:space="0" w:color="auto"/>
            </w:tcBorders>
          </w:tcPr>
          <w:p w:rsidR="007D173C" w:rsidRDefault="007D173C">
            <w:pPr>
              <w:jc w:val="center"/>
              <w:rPr>
                <w:rFonts w:eastAsia="Calibri"/>
                <w:bCs/>
              </w:rPr>
            </w:pPr>
            <w:r>
              <w:rPr>
                <w:rFonts w:eastAsia="Calibri"/>
                <w:bCs/>
              </w:rPr>
              <w:t xml:space="preserve">Кількість  </w:t>
            </w:r>
          </w:p>
          <w:p w:rsidR="007D173C" w:rsidRDefault="007D173C">
            <w:pPr>
              <w:jc w:val="center"/>
              <w:rPr>
                <w:rFonts w:eastAsia="Calibri"/>
                <w:bCs/>
              </w:rPr>
            </w:pPr>
          </w:p>
        </w:tc>
        <w:tc>
          <w:tcPr>
            <w:tcW w:w="1665" w:type="dxa"/>
            <w:tcBorders>
              <w:top w:val="outset" w:sz="6" w:space="0" w:color="auto"/>
              <w:left w:val="outset" w:sz="6" w:space="0" w:color="auto"/>
              <w:bottom w:val="outset" w:sz="6" w:space="0" w:color="auto"/>
              <w:right w:val="outset" w:sz="6" w:space="0" w:color="auto"/>
            </w:tcBorders>
            <w:hideMark/>
          </w:tcPr>
          <w:p w:rsidR="007D173C" w:rsidRDefault="007D173C">
            <w:pPr>
              <w:jc w:val="center"/>
              <w:rPr>
                <w:rFonts w:eastAsia="Calibri"/>
                <w:bCs/>
              </w:rPr>
            </w:pPr>
            <w:r>
              <w:rPr>
                <w:rFonts w:eastAsia="Calibri"/>
                <w:bCs/>
              </w:rPr>
              <w:t>ціна за одиницю</w:t>
            </w:r>
          </w:p>
          <w:p w:rsidR="007D173C" w:rsidRDefault="007D173C">
            <w:pPr>
              <w:jc w:val="center"/>
              <w:rPr>
                <w:rFonts w:eastAsia="Calibri"/>
                <w:bCs/>
              </w:rPr>
            </w:pPr>
            <w:r>
              <w:rPr>
                <w:rFonts w:eastAsia="Calibri"/>
                <w:bCs/>
              </w:rPr>
              <w:t>(грн.)  з ПДВ</w:t>
            </w:r>
          </w:p>
        </w:tc>
        <w:tc>
          <w:tcPr>
            <w:tcW w:w="1410" w:type="dxa"/>
            <w:tcBorders>
              <w:top w:val="outset" w:sz="6" w:space="0" w:color="auto"/>
              <w:left w:val="nil"/>
              <w:bottom w:val="outset" w:sz="6" w:space="0" w:color="auto"/>
              <w:right w:val="outset" w:sz="6" w:space="0" w:color="auto"/>
            </w:tcBorders>
            <w:hideMark/>
          </w:tcPr>
          <w:p w:rsidR="007D173C" w:rsidRDefault="007D173C">
            <w:pPr>
              <w:jc w:val="center"/>
              <w:rPr>
                <w:rFonts w:eastAsia="Calibri"/>
                <w:bCs/>
              </w:rPr>
            </w:pPr>
            <w:r>
              <w:rPr>
                <w:rFonts w:eastAsia="Calibri"/>
                <w:bCs/>
              </w:rPr>
              <w:t>Загальна сума</w:t>
            </w:r>
          </w:p>
          <w:p w:rsidR="007D173C" w:rsidRDefault="007D173C">
            <w:pPr>
              <w:jc w:val="center"/>
              <w:rPr>
                <w:rFonts w:eastAsia="Calibri"/>
                <w:bCs/>
              </w:rPr>
            </w:pPr>
            <w:r>
              <w:rPr>
                <w:rFonts w:eastAsia="Calibri"/>
                <w:bCs/>
              </w:rPr>
              <w:t>(грн.)</w:t>
            </w:r>
          </w:p>
          <w:p w:rsidR="007D173C" w:rsidRDefault="007D173C">
            <w:pPr>
              <w:jc w:val="center"/>
              <w:rPr>
                <w:rFonts w:eastAsia="Calibri"/>
                <w:bCs/>
              </w:rPr>
            </w:pPr>
            <w:r>
              <w:rPr>
                <w:rFonts w:eastAsia="Calibri"/>
                <w:bCs/>
              </w:rPr>
              <w:t>з ПДВ</w:t>
            </w:r>
          </w:p>
        </w:tc>
      </w:tr>
      <w:tr w:rsidR="007D173C" w:rsidTr="007D173C">
        <w:tc>
          <w:tcPr>
            <w:tcW w:w="615" w:type="dxa"/>
            <w:tcBorders>
              <w:top w:val="nil"/>
              <w:left w:val="outset" w:sz="6" w:space="0" w:color="auto"/>
              <w:bottom w:val="outset" w:sz="6" w:space="0" w:color="auto"/>
              <w:right w:val="outset" w:sz="6" w:space="0" w:color="auto"/>
            </w:tcBorders>
          </w:tcPr>
          <w:p w:rsidR="007D173C" w:rsidRDefault="007D173C">
            <w:pPr>
              <w:jc w:val="center"/>
              <w:rPr>
                <w:rFonts w:eastAsia="Calibri"/>
                <w:bCs/>
              </w:rPr>
            </w:pPr>
          </w:p>
        </w:tc>
        <w:tc>
          <w:tcPr>
            <w:tcW w:w="2910" w:type="dxa"/>
            <w:tcBorders>
              <w:top w:val="nil"/>
              <w:left w:val="outset" w:sz="6" w:space="0" w:color="auto"/>
              <w:bottom w:val="outset" w:sz="6" w:space="0" w:color="auto"/>
              <w:right w:val="outset" w:sz="6" w:space="0" w:color="auto"/>
            </w:tcBorders>
          </w:tcPr>
          <w:p w:rsidR="007D173C" w:rsidRDefault="007D173C">
            <w:pPr>
              <w:rPr>
                <w:rFonts w:eastAsia="Calibri"/>
              </w:rPr>
            </w:pPr>
          </w:p>
        </w:tc>
        <w:tc>
          <w:tcPr>
            <w:tcW w:w="1275" w:type="dxa"/>
            <w:tcBorders>
              <w:top w:val="nil"/>
              <w:left w:val="outset" w:sz="6" w:space="0" w:color="auto"/>
              <w:bottom w:val="outset" w:sz="6" w:space="0" w:color="auto"/>
              <w:right w:val="outset" w:sz="6" w:space="0" w:color="auto"/>
            </w:tcBorders>
          </w:tcPr>
          <w:p w:rsidR="007D173C" w:rsidRDefault="007D173C">
            <w:pPr>
              <w:rPr>
                <w:rFonts w:eastAsia="Calibri"/>
              </w:rPr>
            </w:pPr>
          </w:p>
        </w:tc>
        <w:tc>
          <w:tcPr>
            <w:tcW w:w="1290" w:type="dxa"/>
            <w:tcBorders>
              <w:top w:val="nil"/>
              <w:left w:val="outset" w:sz="6" w:space="0" w:color="auto"/>
              <w:bottom w:val="outset" w:sz="6" w:space="0" w:color="auto"/>
              <w:right w:val="outset" w:sz="6" w:space="0" w:color="auto"/>
            </w:tcBorders>
          </w:tcPr>
          <w:p w:rsidR="007D173C" w:rsidRDefault="007D173C">
            <w:pPr>
              <w:rPr>
                <w:rFonts w:eastAsia="Calibri"/>
              </w:rPr>
            </w:pPr>
          </w:p>
        </w:tc>
        <w:tc>
          <w:tcPr>
            <w:tcW w:w="1665" w:type="dxa"/>
            <w:tcBorders>
              <w:top w:val="nil"/>
              <w:left w:val="outset" w:sz="6" w:space="0" w:color="auto"/>
              <w:bottom w:val="outset" w:sz="6" w:space="0" w:color="auto"/>
              <w:right w:val="outset" w:sz="6" w:space="0" w:color="auto"/>
            </w:tcBorders>
          </w:tcPr>
          <w:p w:rsidR="007D173C" w:rsidRDefault="007D173C">
            <w:pPr>
              <w:rPr>
                <w:rFonts w:eastAsia="Calibri"/>
              </w:rPr>
            </w:pPr>
          </w:p>
        </w:tc>
        <w:tc>
          <w:tcPr>
            <w:tcW w:w="1410" w:type="dxa"/>
            <w:tcBorders>
              <w:top w:val="nil"/>
              <w:left w:val="outset" w:sz="6" w:space="0" w:color="auto"/>
              <w:bottom w:val="outset" w:sz="6" w:space="0" w:color="auto"/>
              <w:right w:val="outset" w:sz="6" w:space="0" w:color="auto"/>
            </w:tcBorders>
          </w:tcPr>
          <w:p w:rsidR="007D173C" w:rsidRDefault="007D173C">
            <w:pPr>
              <w:rPr>
                <w:rFonts w:eastAsia="Calibri"/>
              </w:rPr>
            </w:pPr>
          </w:p>
        </w:tc>
      </w:tr>
      <w:tr w:rsidR="007D173C" w:rsidTr="007D173C">
        <w:tc>
          <w:tcPr>
            <w:tcW w:w="615" w:type="dxa"/>
            <w:tcBorders>
              <w:top w:val="nil"/>
              <w:left w:val="outset" w:sz="6" w:space="0" w:color="auto"/>
              <w:bottom w:val="outset" w:sz="6" w:space="0" w:color="auto"/>
              <w:right w:val="outset" w:sz="6" w:space="0" w:color="auto"/>
            </w:tcBorders>
          </w:tcPr>
          <w:p w:rsidR="007D173C" w:rsidRDefault="007D173C">
            <w:pPr>
              <w:rPr>
                <w:rFonts w:eastAsia="Calibri"/>
                <w:b/>
              </w:rPr>
            </w:pPr>
          </w:p>
        </w:tc>
        <w:tc>
          <w:tcPr>
            <w:tcW w:w="8580" w:type="dxa"/>
            <w:gridSpan w:val="5"/>
            <w:tcBorders>
              <w:top w:val="nil"/>
              <w:left w:val="outset" w:sz="6" w:space="0" w:color="auto"/>
              <w:bottom w:val="outset" w:sz="6" w:space="0" w:color="auto"/>
              <w:right w:val="outset" w:sz="6" w:space="0" w:color="auto"/>
            </w:tcBorders>
          </w:tcPr>
          <w:p w:rsidR="007D173C" w:rsidRDefault="007D173C">
            <w:pPr>
              <w:rPr>
                <w:rFonts w:eastAsia="Calibri"/>
                <w:b/>
              </w:rPr>
            </w:pPr>
            <w:r>
              <w:rPr>
                <w:rFonts w:eastAsia="Calibri"/>
                <w:b/>
              </w:rPr>
              <w:t>(загальна сума словами)</w:t>
            </w:r>
          </w:p>
          <w:p w:rsidR="007D173C" w:rsidRDefault="007D173C">
            <w:pPr>
              <w:rPr>
                <w:rFonts w:eastAsia="Calibri"/>
                <w:b/>
              </w:rPr>
            </w:pPr>
          </w:p>
        </w:tc>
      </w:tr>
    </w:tbl>
    <w:p w:rsidR="007D173C" w:rsidRDefault="007D173C" w:rsidP="007D173C">
      <w:pPr>
        <w:rPr>
          <w:rFonts w:eastAsia="Calibri"/>
          <w:b/>
        </w:rPr>
      </w:pPr>
      <w:r>
        <w:rPr>
          <w:rFonts w:eastAsia="Calibri"/>
          <w:b/>
        </w:rPr>
        <w:t xml:space="preserve"> </w:t>
      </w:r>
    </w:p>
    <w:p w:rsidR="007D173C" w:rsidRDefault="007D173C" w:rsidP="007D173C">
      <w:pPr>
        <w:widowControl w:val="0"/>
        <w:autoSpaceDE w:val="0"/>
        <w:autoSpaceDN w:val="0"/>
        <w:adjustRightInd w:val="0"/>
        <w:spacing w:line="273" w:lineRule="auto"/>
        <w:contextualSpacing/>
        <w:rPr>
          <w:rFonts w:eastAsia="Calibri"/>
          <w:bCs/>
        </w:rPr>
      </w:pPr>
      <w:r>
        <w:rPr>
          <w:rFonts w:eastAsia="Calibri"/>
          <w:b/>
        </w:rPr>
        <w:t>Замовник:                                                                        Постачальник:</w:t>
      </w:r>
    </w:p>
    <w:p w:rsidR="007D173C" w:rsidRDefault="007D173C" w:rsidP="007D173C">
      <w:pPr>
        <w:autoSpaceDE w:val="0"/>
        <w:autoSpaceDN w:val="0"/>
        <w:jc w:val="both"/>
        <w:rPr>
          <w:rFonts w:cs="Calibri"/>
          <w:iCs/>
        </w:rPr>
      </w:pPr>
      <w:r>
        <w:rPr>
          <w:rFonts w:cs="Calibri"/>
          <w:iCs/>
        </w:rPr>
        <w:t>__________________________________________________________</w:t>
      </w:r>
    </w:p>
    <w:p w:rsidR="007D173C" w:rsidRDefault="007D173C" w:rsidP="007D173C">
      <w:pPr>
        <w:autoSpaceDE w:val="0"/>
        <w:autoSpaceDN w:val="0"/>
        <w:jc w:val="both"/>
        <w:rPr>
          <w:rFonts w:cs="Calibri"/>
          <w:i/>
          <w:iCs/>
        </w:rPr>
      </w:pPr>
      <w:r>
        <w:rPr>
          <w:rFonts w:cs="Calibri"/>
          <w:i/>
          <w:iCs/>
        </w:rPr>
        <w:t xml:space="preserve">      [Підпис] </w:t>
      </w:r>
      <w:r>
        <w:rPr>
          <w:rFonts w:cs="Calibri"/>
          <w:i/>
          <w:iCs/>
        </w:rPr>
        <w:tab/>
        <w:t>[прізвище, ініціали, посада уповноваженої особи учасника]</w:t>
      </w:r>
    </w:p>
    <w:p w:rsidR="007D173C" w:rsidRDefault="007D173C" w:rsidP="007D173C">
      <w:pPr>
        <w:autoSpaceDE w:val="0"/>
        <w:autoSpaceDN w:val="0"/>
        <w:jc w:val="both"/>
        <w:rPr>
          <w:rFonts w:cs="Calibri"/>
          <w:i/>
          <w:iCs/>
        </w:rPr>
      </w:pPr>
      <w:r>
        <w:rPr>
          <w:i/>
          <w:iCs/>
        </w:rPr>
        <w:t>М.П. (у разі наявності печатки)</w:t>
      </w:r>
    </w:p>
    <w:p w:rsidR="007D173C" w:rsidRDefault="007D173C" w:rsidP="007D173C">
      <w:pPr>
        <w:jc w:val="both"/>
        <w:rPr>
          <w:rFonts w:cs="Calibri"/>
        </w:rPr>
      </w:pPr>
      <w:r>
        <w:t xml:space="preserve">Незаповнені пункти Договору заповнюються під час його укладення. </w:t>
      </w:r>
    </w:p>
    <w:p w:rsidR="007D173C" w:rsidRDefault="007D173C" w:rsidP="007D173C">
      <w:r>
        <w:t xml:space="preserve"> </w:t>
      </w:r>
    </w:p>
    <w:p w:rsidR="007D173C" w:rsidRDefault="007D173C" w:rsidP="007D173C">
      <w:pPr>
        <w:contextualSpacing/>
      </w:pPr>
      <w:r>
        <w:t xml:space="preserve"> </w:t>
      </w:r>
    </w:p>
    <w:p w:rsidR="007924A5" w:rsidRDefault="007924A5"/>
    <w:sectPr w:rsidR="007924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D74"/>
    <w:multiLevelType w:val="multilevel"/>
    <w:tmpl w:val="9FA278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3C"/>
    <w:rsid w:val="007924A5"/>
    <w:rsid w:val="007D1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67BB"/>
  <w15:chartTrackingRefBased/>
  <w15:docId w15:val="{ECE6A1E8-DC31-41EF-9F5B-3E3320B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73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2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ell\Desktop\&#1058;&#1077;&#1085;&#1076;&#1077;&#1088;&#1085;&#1072;%20&#1076;&#1086;&#1082;&#1091;&#1084;&#1077;&#1085;&#1090;&#1072;&#1094;&#1110;&#110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9544</Words>
  <Characters>5441</Characters>
  <Application>Microsoft Office Word</Application>
  <DocSecurity>0</DocSecurity>
  <Lines>45</Lines>
  <Paragraphs>29</Paragraphs>
  <ScaleCrop>false</ScaleCrop>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2024-01-30T14:37:00Z</dcterms:created>
  <dcterms:modified xsi:type="dcterms:W3CDTF">2024-01-30T14:39:00Z</dcterms:modified>
</cp:coreProperties>
</file>