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Default="00CC66EA" w:rsidP="00CC66EA">
      <w:pPr>
        <w:jc w:val="center"/>
        <w:rPr>
          <w:sz w:val="28"/>
          <w:szCs w:val="28"/>
        </w:rPr>
      </w:pPr>
      <w:r>
        <w:rPr>
          <w:b/>
          <w:bCs/>
        </w:rPr>
        <w:t>ПРО</w:t>
      </w:r>
      <w:r w:rsidR="009B787F">
        <w:rPr>
          <w:b/>
          <w:bCs/>
          <w:lang w:val="uk-UA"/>
        </w:rPr>
        <w:t>Є</w:t>
      </w:r>
      <w:r>
        <w:rPr>
          <w:b/>
          <w:bCs/>
        </w:rPr>
        <w:t>КТ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Pr>
          <w:lang w:val="uk-UA"/>
        </w:rPr>
        <w:t xml:space="preserve"> філе куряче охолоджене.</w:t>
      </w:r>
      <w:r>
        <w:t xml:space="preserve"> </w:t>
      </w:r>
      <w:r>
        <w:rPr>
          <w:lang w:val="uk-UA"/>
        </w:rPr>
        <w:t>З</w:t>
      </w:r>
      <w:r>
        <w:t xml:space="preserve">а </w:t>
      </w:r>
      <w:r>
        <w:rPr>
          <w:bCs/>
        </w:rPr>
        <w:t>кодом ДК 021:2015 15</w:t>
      </w:r>
      <w:r>
        <w:rPr>
          <w:bCs/>
          <w:lang w:val="uk-UA"/>
        </w:rPr>
        <w:t>110000</w:t>
      </w:r>
      <w:r>
        <w:rPr>
          <w:bCs/>
        </w:rPr>
        <w:t>-</w:t>
      </w:r>
      <w:r>
        <w:rPr>
          <w:bCs/>
          <w:lang w:val="uk-UA"/>
        </w:rPr>
        <w:t>2</w:t>
      </w:r>
      <w:r>
        <w:rPr>
          <w:bCs/>
        </w:rPr>
        <w:t xml:space="preserve"> – </w:t>
      </w:r>
      <w:r>
        <w:rPr>
          <w:bCs/>
          <w:lang w:val="uk-UA"/>
        </w:rPr>
        <w:t>М</w:t>
      </w:r>
      <w:r w:rsidRPr="00CC66EA">
        <w:rPr>
          <w:bCs/>
        </w:rPr>
        <w:t>’</w:t>
      </w:r>
      <w:r>
        <w:rPr>
          <w:bCs/>
          <w:lang w:val="uk-UA"/>
        </w:rPr>
        <w:t>ясо</w:t>
      </w:r>
      <w:r>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lastRenderedPageBreak/>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2023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7</w:t>
      </w:r>
      <w:r>
        <w:rPr>
          <w:rFonts w:eastAsia="Calibri"/>
          <w:color w:val="00000A"/>
          <w:vertAlign w:val="superscript"/>
          <w:lang w:val="uk-UA" w:eastAsia="zh-CN"/>
        </w:rPr>
        <w:t xml:space="preserve">00 </w:t>
      </w:r>
      <w:r>
        <w:rPr>
          <w:rFonts w:eastAsia="Calibri"/>
          <w:color w:val="00000A"/>
          <w:lang w:val="uk-UA" w:eastAsia="zh-CN"/>
        </w:rPr>
        <w:t>до 9</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5.4. Джерело фінансування – Місцевий бюджет.</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sz w:val="22"/>
                <w:szCs w:val="22"/>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9A6498"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9A6498" w:rsidRDefault="009A6498">
            <w:pPr>
              <w:tabs>
                <w:tab w:val="left" w:pos="9000"/>
              </w:tabs>
              <w:jc w:val="center"/>
              <w:rPr>
                <w:color w:val="000000"/>
                <w:lang w:val="uk-UA"/>
              </w:rPr>
            </w:pPr>
            <w:r>
              <w:rPr>
                <w:color w:val="000000"/>
                <w:lang w:val="uk-UA"/>
              </w:rPr>
              <w:t>2.</w:t>
            </w:r>
          </w:p>
        </w:tc>
        <w:tc>
          <w:tcPr>
            <w:tcW w:w="3326" w:type="dxa"/>
            <w:tcBorders>
              <w:top w:val="single" w:sz="4" w:space="0" w:color="auto"/>
              <w:left w:val="single" w:sz="4" w:space="0" w:color="auto"/>
              <w:bottom w:val="single" w:sz="4" w:space="0" w:color="auto"/>
              <w:right w:val="single" w:sz="4" w:space="0" w:color="auto"/>
            </w:tcBorders>
            <w:hideMark/>
          </w:tcPr>
          <w:p w:rsidR="009A6498" w:rsidRDefault="009A6498">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9A6498" w:rsidRDefault="009A6498">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9A6498" w:rsidRDefault="009A6498">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9A6498" w:rsidRDefault="009A6498">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sz w:val="22"/>
                <w:szCs w:val="22"/>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BF"/>
    <w:rsid w:val="002569BF"/>
    <w:rsid w:val="002E184E"/>
    <w:rsid w:val="002E6D49"/>
    <w:rsid w:val="0047676F"/>
    <w:rsid w:val="00535694"/>
    <w:rsid w:val="008F5501"/>
    <w:rsid w:val="009A6498"/>
    <w:rsid w:val="009B787F"/>
    <w:rsid w:val="00C200C8"/>
    <w:rsid w:val="00CC66EA"/>
    <w:rsid w:val="00D028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10941</Words>
  <Characters>6237</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8</cp:revision>
  <dcterms:created xsi:type="dcterms:W3CDTF">2023-11-22T10:54:00Z</dcterms:created>
  <dcterms:modified xsi:type="dcterms:W3CDTF">2024-02-08T15:09:00Z</dcterms:modified>
</cp:coreProperties>
</file>