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A7" w:rsidRDefault="005612D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3 до тендерної документації</w:t>
      </w:r>
    </w:p>
    <w:p w:rsidR="00D918A7" w:rsidRDefault="00D918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918A7" w:rsidRDefault="00D918A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918A7" w:rsidRDefault="005612D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ТЕХНІЧНА СПЕЦИФІКАЦІЯ:</w:t>
      </w:r>
    </w:p>
    <w:p w:rsidR="00D918A7" w:rsidRDefault="005612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  <w:bCs/>
        </w:rPr>
        <w:t xml:space="preserve">Технічні вимоги </w:t>
      </w:r>
      <w:r>
        <w:rPr>
          <w:rFonts w:ascii="Times New Roman" w:hAnsi="Times New Roman"/>
          <w:b/>
        </w:rPr>
        <w:t xml:space="preserve">згідно предмету закупівлі: </w:t>
      </w:r>
    </w:p>
    <w:p w:rsidR="00D918A7" w:rsidRDefault="005612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«Сирні продукти»</w:t>
      </w:r>
    </w:p>
    <w:p w:rsidR="00D918A7" w:rsidRDefault="00D91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18A7" w:rsidRDefault="005612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ДК 021:2015:</w:t>
      </w:r>
      <w:r>
        <w:rPr>
          <w:rFonts w:ascii="Times New Roman" w:hAnsi="Times New Roman"/>
          <w:color w:val="000000"/>
          <w:sz w:val="32"/>
          <w:szCs w:val="32"/>
          <w:shd w:val="clear" w:color="auto" w:fill="FDFEFD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DFEFD"/>
        </w:rPr>
        <w:t>15540000-5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shd w:val="clear" w:color="auto" w:fill="FDFEFD"/>
        </w:rPr>
        <w:t>Сирні продукти</w:t>
      </w:r>
    </w:p>
    <w:tbl>
      <w:tblPr>
        <w:tblW w:w="10285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878"/>
        <w:gridCol w:w="1275"/>
      </w:tblGrid>
      <w:tr w:rsidR="00D918A7">
        <w:tc>
          <w:tcPr>
            <w:tcW w:w="2151" w:type="dxa"/>
            <w:shd w:val="clear" w:color="auto" w:fill="auto"/>
            <w:vAlign w:val="center"/>
          </w:tcPr>
          <w:p w:rsidR="00D918A7" w:rsidRDefault="005612D8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7166" w:type="dxa"/>
            <w:shd w:val="clear" w:color="auto" w:fill="auto"/>
          </w:tcPr>
          <w:p w:rsidR="00D918A7" w:rsidRDefault="005612D8">
            <w:pPr>
              <w:suppressAutoHyphens/>
              <w:spacing w:after="0" w:line="240" w:lineRule="auto"/>
              <w:ind w:left="75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Технічні вимоги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918A7" w:rsidRDefault="005612D8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та Од. виміру</w:t>
            </w:r>
          </w:p>
        </w:tc>
      </w:tr>
      <w:tr w:rsidR="00D918A7">
        <w:tc>
          <w:tcPr>
            <w:tcW w:w="2151" w:type="dxa"/>
            <w:shd w:val="clear" w:color="auto" w:fill="auto"/>
            <w:vAlign w:val="center"/>
          </w:tcPr>
          <w:p w:rsidR="00D918A7" w:rsidRDefault="005612D8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 кисломолочний</w:t>
            </w:r>
          </w:p>
        </w:tc>
        <w:tc>
          <w:tcPr>
            <w:tcW w:w="7166" w:type="dxa"/>
            <w:shd w:val="clear" w:color="auto" w:fill="auto"/>
          </w:tcPr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Свіжий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сир (кисломолочний)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Жирність – не менше 9%. 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Пакування – запаковане в спожиткову тару: пакети з поліетиленової плівки з внутрішнім чорним покриттям, що дозволена для контакту з харчовими продуктами.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Зовнішній вигляд - сир кисломолочний повинен мати чистий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кисломолочний смак і запах. Консистенція його повинна бути ніжною, однорідною, розсипчастою з незначним виділенням сироватки.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Колір сиру кисломолочного – білий, може бути з рівномірним кремовим відтінком.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Тара і матеріали, що використовуються для пакуванн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 сиру кисломолочного повинні відповідати вимогам законодавчих нормативних технічних документів.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 допускається постачання сиру згірклого, запліснявілого, з тухлим і сальним присмаками, запахами нафтопродуктів, хімікатів, з сторонніми домішками, з загубле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ною формою (розплавлені, здуті), з порушенням герметичності плівки. Сир не повинен бути мокрим і клейким. 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Обгортка сиру повинна мати виробничу марку, дату виготовлення 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Постачальник гарантує якість товару, згідно медико-технічних вимог, яка повинна відпов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ідати найвищому рівню технологій і стандартів, існуючих в країні виробника на аналогічний товар. 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Якість товару повинна відповідати загальним  вимогам раціонального харчування дітей у навчальних закладах.  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 кисломолочний повинен відповідати вимогам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ДСТУ або ТУ виробника, не містити ГМО.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Термін придатності не більше ніж зазначено в сертифікаті якості/відповідності.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Фасування: пакування по 0,4 кг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918A7" w:rsidRDefault="005612D8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кг</w:t>
            </w:r>
          </w:p>
        </w:tc>
      </w:tr>
      <w:tr w:rsidR="00D918A7">
        <w:tc>
          <w:tcPr>
            <w:tcW w:w="2151" w:type="dxa"/>
            <w:shd w:val="clear" w:color="auto" w:fill="auto"/>
            <w:vAlign w:val="center"/>
          </w:tcPr>
          <w:p w:rsidR="00D918A7" w:rsidRDefault="005612D8">
            <w:pPr>
              <w:tabs>
                <w:tab w:val="left" w:pos="62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 твердий</w:t>
            </w:r>
          </w:p>
        </w:tc>
        <w:tc>
          <w:tcPr>
            <w:tcW w:w="7166" w:type="dxa"/>
            <w:shd w:val="clear" w:color="auto" w:fill="auto"/>
          </w:tcPr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Твердий сир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(жирність не менше 45%) Зовнішній вигляд- поверхня чиста, рівна, без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ічних ушкоджень, сторонніх нашарувань і товстого поверхневого шару, покрита захисним покриттям, однорідний за всією масою, від світло-жовтого до жовтого.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Запах та смак – в міру виражений сирний, від злегка кислуватого до слабо гострого, без сторонніх смакі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і запахів.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Консистенція - тісто ніжне, пластичне, однорідне по всій масі, злегка ламке при згині.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Якість товару повинна  відповідати загальним вимогам раціонального харчування дітей у навчальних закладах.  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Сир повинен відповідати вимогам ДСТУ або ТУ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виробника, не містити ГМО.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Оцінка якості - згідно ДСТУ 6003:2008.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Термін придатності – не більше ніж зазначено в сертифікаті якості /відповідності.</w:t>
            </w:r>
          </w:p>
          <w:p w:rsidR="00D918A7" w:rsidRDefault="005612D8">
            <w:pPr>
              <w:suppressAutoHyphens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Фасування: герметичне пакування по 0,9 -1,1 кг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918A7" w:rsidRDefault="005612D8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кг</w:t>
            </w:r>
          </w:p>
        </w:tc>
      </w:tr>
    </w:tbl>
    <w:p w:rsidR="00D918A7" w:rsidRDefault="00D918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18A7" w:rsidRDefault="00D918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A7" w:rsidRDefault="005612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p w:rsidR="00D918A7" w:rsidRDefault="005612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закупівлю 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Технічні, якісні </w:t>
      </w:r>
      <w:r>
        <w:rPr>
          <w:rFonts w:ascii="Times New Roman" w:hAnsi="Times New Roman"/>
          <w:sz w:val="24"/>
          <w:szCs w:val="24"/>
        </w:rPr>
        <w:t>характеристики предмета закупівлі передбачають необхідність застосування заходів із захисту довкілля.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Постачальник гарантує якість товару згідно медико-технічних вимог, яка повинна  відповідати найвищому рівню технологій і стандартів, існуючих в країні виробника на аналогічний товар.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товару повинна  відповідати загальним  вимогам раціонального хар</w:t>
      </w:r>
      <w:r>
        <w:rPr>
          <w:rFonts w:ascii="Times New Roman" w:hAnsi="Times New Roman"/>
          <w:sz w:val="24"/>
          <w:szCs w:val="24"/>
        </w:rPr>
        <w:t xml:space="preserve">чування дітей у дошкільних навчальних закладах.  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Кожну партію супроводжує документ, що підтверджує її безпечність та якість.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 продуктів харчування і продовольчої сировини повинно здійснюватися спеціальним  автотранспортом.   Кузови   машин   із</w:t>
      </w:r>
      <w:r>
        <w:rPr>
          <w:rFonts w:ascii="Times New Roman" w:hAnsi="Times New Roman"/>
          <w:sz w:val="24"/>
          <w:szCs w:val="24"/>
        </w:rPr>
        <w:t xml:space="preserve"> середини   повинні  бути  покриті оцинкованим  залізом,  листовим  алюмінієм  або  іншим матеріалом, дозволеним  Міністерством  охорони  здоров'я України до контакту з продуктами харчування та з додержанням температурного режиму відповідно до вимог Правил</w:t>
      </w:r>
      <w:r>
        <w:rPr>
          <w:rFonts w:ascii="Times New Roman" w:hAnsi="Times New Roman"/>
          <w:sz w:val="24"/>
          <w:szCs w:val="24"/>
        </w:rPr>
        <w:t xml:space="preserve"> перевезень вантажів автомобільним транспортом в Україні. Транспортні засоби, якими перевозять товар, повинні бути чисті, без сторонніх запахів. На автотранспорт учасника повинен бути чинний санітарний паспорт.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товару  має здійснюватись автотрансп</w:t>
      </w:r>
      <w:r>
        <w:rPr>
          <w:rFonts w:ascii="Times New Roman" w:hAnsi="Times New Roman"/>
          <w:sz w:val="24"/>
          <w:szCs w:val="24"/>
        </w:rPr>
        <w:t>ортом Учасника згідно заявок замовника протягом  2023 року.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Умови поставки: виключно в обсягах, зазначених у заявках відділу освіти.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Товари повинні відповідати показникам якості безпеки, які встановлюються законодавством України та діючим стандартам  ТУ</w:t>
      </w:r>
      <w:r>
        <w:rPr>
          <w:rFonts w:ascii="Times New Roman" w:hAnsi="Times New Roman"/>
          <w:sz w:val="24"/>
          <w:szCs w:val="24"/>
        </w:rPr>
        <w:t xml:space="preserve">, ДСТУ. 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Тара та упаковка для поставки товару повинна бути виготовлена з матеріалів дозволених для використання в Україні.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Учасник визначає ціну на товар, який він пропонує поставити за Договором, з урахуванням податків і зборів, що сплачуються або м</w:t>
      </w:r>
      <w:r>
        <w:rPr>
          <w:rFonts w:ascii="Times New Roman" w:hAnsi="Times New Roman"/>
          <w:sz w:val="24"/>
          <w:szCs w:val="24"/>
        </w:rPr>
        <w:t xml:space="preserve">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Товар має постачатися з терміном придатності і  не менше 90% загального терміну зберігання. На етикетці пови</w:t>
      </w:r>
      <w:r>
        <w:rPr>
          <w:rFonts w:ascii="Times New Roman" w:hAnsi="Times New Roman"/>
          <w:sz w:val="24"/>
          <w:szCs w:val="24"/>
        </w:rPr>
        <w:t>нна бути нанесена інформація, яка містить назву виробника, дату виготовлення, умови зберігання та терміни придатності до споживання.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Кожна партія товару має супроводжуватися документами, що підтверджують їх походження, безпечність і якість, повинні відп</w:t>
      </w:r>
      <w:r>
        <w:rPr>
          <w:rFonts w:ascii="Times New Roman" w:hAnsi="Times New Roman"/>
          <w:sz w:val="24"/>
          <w:szCs w:val="24"/>
        </w:rPr>
        <w:t>овідати вимогам державних стандартів. Документи повинні засвідчувати безпечність і якість продуктів, дату виготовлення на підприємстві, термін реалізації, умови зберігання.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Графік постачання додатково обговорюється в момент укладання договору.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недобр</w:t>
      </w:r>
      <w:r>
        <w:rPr>
          <w:rFonts w:ascii="Times New Roman" w:hAnsi="Times New Roman"/>
          <w:sz w:val="24"/>
          <w:szCs w:val="24"/>
        </w:rPr>
        <w:t>оякісний товар складається акт і такий товар повертають постачальнику.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календарного дня.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Водій та особ</w:t>
      </w:r>
      <w:r>
        <w:rPr>
          <w:rFonts w:ascii="Times New Roman" w:hAnsi="Times New Roman"/>
          <w:sz w:val="24"/>
          <w:szCs w:val="24"/>
        </w:rPr>
        <w:t>и, які супроводжують продукти в дорозі і виконують навантажувально-розвантажувальні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розвезенні товару Поста</w:t>
      </w:r>
      <w:r>
        <w:rPr>
          <w:rFonts w:ascii="Times New Roman" w:hAnsi="Times New Roman"/>
          <w:sz w:val="24"/>
          <w:szCs w:val="24"/>
        </w:rPr>
        <w:t>чальник повинен дотримуватися санітарних норм щодо перевезення швидкопсувних продуктів харчування.</w:t>
      </w:r>
    </w:p>
    <w:p w:rsidR="00D918A7" w:rsidRDefault="00561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Учасник відповідає за одержання будь-яких та всіх необхідних дозволів, ліцензій, сертифікатів на товар,  та самостійно несе всі витрати на отримання таких до</w:t>
      </w:r>
      <w:r>
        <w:rPr>
          <w:rFonts w:ascii="Times New Roman" w:hAnsi="Times New Roman"/>
          <w:sz w:val="24"/>
          <w:szCs w:val="24"/>
        </w:rPr>
        <w:t>зволів, ліцензій, сертифікатів.</w:t>
      </w:r>
    </w:p>
    <w:p w:rsidR="00D918A7" w:rsidRDefault="005612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Завантаження, розвантаження товару здійснюють працівники Постачальника.</w:t>
      </w:r>
    </w:p>
    <w:p w:rsidR="00D918A7" w:rsidRDefault="00D918A7">
      <w:pPr>
        <w:suppressAutoHyphens/>
        <w:jc w:val="center"/>
        <w:rPr>
          <w:rFonts w:ascii="Times New Roman" w:hAnsi="Times New Roman" w:cs="Times New Roman"/>
          <w:b/>
          <w:kern w:val="2"/>
          <w:u w:val="single"/>
          <w:lang w:eastAsia="hi-IN" w:bidi="hi-IN"/>
        </w:rPr>
      </w:pPr>
    </w:p>
    <w:p w:rsidR="00D918A7" w:rsidRDefault="005612D8">
      <w:pPr>
        <w:suppressAutoHyphens/>
        <w:jc w:val="center"/>
        <w:rPr>
          <w:rFonts w:ascii="Times New Roman" w:hAnsi="Times New Roman" w:cs="Times New Roman"/>
          <w:b/>
          <w:kern w:val="2"/>
          <w:u w:val="single"/>
          <w:lang w:val="ru-RU" w:eastAsia="hi-IN" w:bidi="hi-IN"/>
        </w:rPr>
      </w:pPr>
      <w:r>
        <w:rPr>
          <w:rFonts w:ascii="Times New Roman" w:hAnsi="Times New Roman" w:cs="Times New Roman"/>
          <w:b/>
          <w:kern w:val="2"/>
          <w:u w:val="single"/>
          <w:lang w:val="ru-RU" w:eastAsia="hi-IN" w:bidi="hi-IN"/>
        </w:rPr>
        <w:t>Учасник в складі своєї пропозиції надає наступні документи:</w:t>
      </w:r>
    </w:p>
    <w:p w:rsidR="00D918A7" w:rsidRDefault="005612D8">
      <w:pPr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Гарантійний лист щодо підтвердження технічних, якісних, кількісних характеристик товару </w:t>
      </w:r>
      <w:r>
        <w:rPr>
          <w:rFonts w:ascii="Times New Roman" w:hAnsi="Times New Roman" w:cs="Times New Roman"/>
        </w:rPr>
        <w:t xml:space="preserve">відповідно до вимог, визначених замовником . </w:t>
      </w:r>
    </w:p>
    <w:p w:rsidR="00D918A7" w:rsidRDefault="005612D8">
      <w:pPr>
        <w:ind w:right="-1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-  Довідка у довільній формі за підписом учасника (уповноваженого представника) з інформацією про найменування та адресу виробника продукції, яка пропонується до постачання</w:t>
      </w:r>
      <w:r>
        <w:rPr>
          <w:rFonts w:ascii="Times New Roman" w:hAnsi="Times New Roman" w:cs="Times New Roman"/>
          <w:lang w:val="ru-RU"/>
        </w:rPr>
        <w:t>.</w:t>
      </w:r>
    </w:p>
    <w:p w:rsidR="00D918A7" w:rsidRDefault="005612D8">
      <w:pPr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- </w:t>
      </w:r>
      <w:r>
        <w:rPr>
          <w:rFonts w:ascii="Times New Roman" w:hAnsi="Times New Roman" w:cs="Times New Roman"/>
        </w:rPr>
        <w:t>Довідка у довільній формі за під</w:t>
      </w:r>
      <w:r>
        <w:rPr>
          <w:rFonts w:ascii="Times New Roman" w:hAnsi="Times New Roman" w:cs="Times New Roman"/>
        </w:rPr>
        <w:t xml:space="preserve">писом учасника (уповноваженого представника) з інформацією про застосування заходів із захисту довкілля. </w:t>
      </w:r>
    </w:p>
    <w:p w:rsidR="00D918A7" w:rsidRDefault="005612D8">
      <w:pPr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Оригінали або нотаріально завірені копії експлуатаційних дозволів на власні та/або орендовані потужності  (об’єкти)  з виробництва, переробки або р</w:t>
      </w:r>
      <w:r>
        <w:rPr>
          <w:rFonts w:ascii="Times New Roman" w:hAnsi="Times New Roman" w:cs="Times New Roman"/>
        </w:rPr>
        <w:t>еалізації харчових продуктів, передбачених ст.23 Закону України «Про основні принципи та вимоги до безпечності та якості харчових продуктів» від 23.12.1997 року №771/97-вр. Учасник повинен бути оператором потужностей (об</w:t>
      </w:r>
      <w:r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</w:rPr>
        <w:t>єктів), які він використовує у госп</w:t>
      </w:r>
      <w:r>
        <w:rPr>
          <w:rFonts w:ascii="Times New Roman" w:hAnsi="Times New Roman" w:cs="Times New Roman"/>
        </w:rPr>
        <w:t xml:space="preserve">одарській діяльності. </w:t>
      </w:r>
    </w:p>
    <w:p w:rsidR="00D918A7" w:rsidRDefault="005612D8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lang w:val="ru-RU" w:eastAsia="hi-IN" w:bidi="hi-IN"/>
        </w:rPr>
      </w:pPr>
      <w:r>
        <w:rPr>
          <w:rFonts w:ascii="Times New Roman" w:hAnsi="Times New Roman" w:cs="Times New Roman"/>
          <w:kern w:val="2"/>
          <w:lang w:val="ru-RU" w:eastAsia="hi-IN" w:bidi="hi-IN"/>
        </w:rPr>
        <w:t xml:space="preserve">листа-згоду на здійснення обробки персональних даних згідно з вимогами Закону України «Про захист персональних даних» від 01.06.2010 № 2297-VI службової (посадової) особи або представника учасника процедури закупівлі, які будуть </w:t>
      </w:r>
      <w:r>
        <w:rPr>
          <w:rFonts w:ascii="Times New Roman" w:hAnsi="Times New Roman" w:cs="Times New Roman"/>
          <w:kern w:val="2"/>
          <w:lang w:val="ru-RU" w:eastAsia="hi-IN" w:bidi="hi-IN"/>
        </w:rPr>
        <w:t xml:space="preserve">підписувати пропозицію електронних торгів та/або договір, </w:t>
      </w:r>
    </w:p>
    <w:p w:rsidR="00D918A7" w:rsidRPr="001C78E2" w:rsidRDefault="005612D8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2"/>
          <w:rFonts w:cs="Times New Roman"/>
        </w:rPr>
      </w:pPr>
      <w:r w:rsidRPr="001C78E2">
        <w:rPr>
          <w:rStyle w:val="2"/>
          <w:rFonts w:cs="Times New Roman"/>
        </w:rPr>
        <w:t xml:space="preserve">Копії особових медичних книжок водіїв та експедиторів  права на керування автомобілем, </w:t>
      </w:r>
      <w:r w:rsidRPr="001C78E2">
        <w:rPr>
          <w:rStyle w:val="2"/>
          <w:rFonts w:cs="Times New Roman"/>
        </w:rPr>
        <w:t>гігієнічне навчання водіїв та експедиторів які будуть обслуговувати даний мар</w:t>
      </w:r>
      <w:r w:rsidRPr="001C78E2">
        <w:rPr>
          <w:rStyle w:val="2"/>
          <w:rFonts w:cs="Times New Roman"/>
        </w:rPr>
        <w:t>шрут</w:t>
      </w:r>
      <w:r w:rsidR="001C78E2" w:rsidRPr="001C78E2">
        <w:rPr>
          <w:rStyle w:val="2"/>
          <w:rFonts w:cs="Times New Roman"/>
        </w:rPr>
        <w:t>.</w:t>
      </w:r>
    </w:p>
    <w:p w:rsidR="00D918A7" w:rsidRPr="001C78E2" w:rsidRDefault="005612D8">
      <w:pPr>
        <w:pStyle w:val="10"/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1C78E2">
        <w:rPr>
          <w:rFonts w:ascii="Times New Roman" w:hAnsi="Times New Roman"/>
        </w:rPr>
        <w:t xml:space="preserve">Довідка в довільній формі де зазначено  наявність автотранспорту, марки, які будуть обслуговувати даний маршрут (якщо автотранспорт знаходиться в оренді тоді надається договір оренди на автотранспорт) та свідоцтво про </w:t>
      </w:r>
      <w:r w:rsidRPr="001C78E2">
        <w:rPr>
          <w:rFonts w:ascii="Times New Roman" w:hAnsi="Times New Roman"/>
        </w:rPr>
        <w:t>калібрування видане на спеціалізований ізотермічний транспорт з холодильною установкою, виданий на ім’я учасника закупівлі;</w:t>
      </w:r>
    </w:p>
    <w:p w:rsidR="00D918A7" w:rsidRPr="001C78E2" w:rsidRDefault="005612D8">
      <w:pPr>
        <w:pStyle w:val="10"/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Times New Roman" w:hAnsi="Times New Roman"/>
          <w:kern w:val="2"/>
          <w:lang w:eastAsia="hi-IN" w:bidi="hi-IN"/>
        </w:rPr>
      </w:pPr>
      <w:r w:rsidRPr="001C78E2">
        <w:rPr>
          <w:rFonts w:ascii="Times New Roman" w:hAnsi="Times New Roman"/>
          <w:kern w:val="2"/>
          <w:lang w:eastAsia="hi-IN" w:bidi="hi-IN"/>
        </w:rPr>
        <w:t>Гарантійний лист щодо дотримання температурного  режиму при поставці товару.</w:t>
      </w:r>
    </w:p>
    <w:p w:rsidR="00D918A7" w:rsidRPr="001C78E2" w:rsidRDefault="005612D8">
      <w:pPr>
        <w:pStyle w:val="1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1C78E2">
        <w:rPr>
          <w:rFonts w:ascii="Times New Roman" w:hAnsi="Times New Roman"/>
          <w:kern w:val="2"/>
          <w:lang w:eastAsia="hi-IN" w:bidi="hi-IN"/>
        </w:rPr>
        <w:t>лист-згоду з графіком завезення;</w:t>
      </w:r>
    </w:p>
    <w:p w:rsidR="00D918A7" w:rsidRPr="001C78E2" w:rsidRDefault="005612D8">
      <w:pPr>
        <w:pStyle w:val="1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1C78E2">
        <w:rPr>
          <w:rFonts w:ascii="Times New Roman" w:hAnsi="Times New Roman"/>
          <w:kern w:val="2"/>
          <w:lang w:eastAsia="hi-IN" w:bidi="hi-IN"/>
        </w:rPr>
        <w:t>Довідка в довільній фо</w:t>
      </w:r>
      <w:r w:rsidRPr="001C78E2">
        <w:rPr>
          <w:rFonts w:ascii="Times New Roman" w:hAnsi="Times New Roman"/>
          <w:kern w:val="2"/>
          <w:lang w:eastAsia="hi-IN" w:bidi="hi-IN"/>
        </w:rPr>
        <w:t xml:space="preserve">рмі в якій учасник торгів зазначає детальний опис товару та джерело </w:t>
      </w:r>
      <w:r w:rsidR="001C78E2" w:rsidRPr="001C78E2">
        <w:rPr>
          <w:rFonts w:ascii="Times New Roman" w:hAnsi="Times New Roman"/>
          <w:kern w:val="2"/>
          <w:lang w:val="ru-RU" w:eastAsia="hi-IN" w:bidi="hi-IN"/>
        </w:rPr>
        <w:t>укладений за результатами торгів;</w:t>
      </w:r>
      <w:r w:rsidRPr="001C78E2">
        <w:rPr>
          <w:rFonts w:ascii="Times New Roman" w:hAnsi="Times New Roman"/>
          <w:kern w:val="2"/>
          <w:lang w:eastAsia="hi-IN" w:bidi="hi-IN"/>
        </w:rPr>
        <w:t>походження товару, відомості про товаровиробника продукція якого пропонується;</w:t>
      </w:r>
    </w:p>
    <w:p w:rsidR="00D918A7" w:rsidRPr="001C78E2" w:rsidRDefault="005612D8">
      <w:pPr>
        <w:pStyle w:val="1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1C78E2">
        <w:rPr>
          <w:rFonts w:ascii="Times New Roman" w:hAnsi="Times New Roman"/>
          <w:kern w:val="2"/>
          <w:lang w:eastAsia="hi-IN" w:bidi="hi-IN"/>
        </w:rPr>
        <w:t>Сертифікат на систему управління безпечністю харчових продуктів.</w:t>
      </w:r>
    </w:p>
    <w:p w:rsidR="001C78E2" w:rsidRDefault="005612D8" w:rsidP="001C78E2">
      <w:pPr>
        <w:pStyle w:val="1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1C78E2">
        <w:rPr>
          <w:rFonts w:ascii="Times New Roman" w:hAnsi="Times New Roman"/>
          <w:kern w:val="2"/>
          <w:lang w:eastAsia="hi-IN" w:bidi="hi-IN"/>
        </w:rPr>
        <w:t>авторизаційний лист підтвердження від виробника, якщо постачальник не являється виробником даної продукції про  співпрацю.</w:t>
      </w:r>
    </w:p>
    <w:p w:rsidR="00D918A7" w:rsidRPr="001C78E2" w:rsidRDefault="005612D8" w:rsidP="001C78E2">
      <w:pPr>
        <w:pStyle w:val="1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2"/>
          <w:lang w:eastAsia="hi-IN" w:bidi="hi-IN"/>
        </w:rPr>
      </w:pPr>
      <w:bookmarkStart w:id="0" w:name="_GoBack"/>
      <w:bookmarkEnd w:id="0"/>
      <w:r w:rsidRPr="001C78E2">
        <w:rPr>
          <w:rFonts w:ascii="Times New Roman" w:hAnsi="Times New Roman"/>
          <w:kern w:val="2"/>
          <w:lang w:eastAsia="hi-IN" w:bidi="hi-IN"/>
        </w:rPr>
        <w:t>акт складений за результатами проведення планового (позапланового ) заход</w:t>
      </w:r>
      <w:r w:rsidRPr="001C78E2">
        <w:rPr>
          <w:rFonts w:ascii="Times New Roman" w:hAnsi="Times New Roman"/>
          <w:kern w:val="2"/>
          <w:lang w:eastAsia="hi-IN" w:bidi="hi-IN"/>
        </w:rPr>
        <w:t>у державного контролю (інспектування) компетентними на те органами, стосовно додержання операторами ринку вимог законодавства про харчові продукти та корми, здоров’я та благополуччя тварин, який затверджений наказом Міністерства аграрної політики та продов</w:t>
      </w:r>
      <w:r w:rsidRPr="001C78E2">
        <w:rPr>
          <w:rFonts w:ascii="Times New Roman" w:hAnsi="Times New Roman"/>
          <w:kern w:val="2"/>
          <w:lang w:eastAsia="hi-IN" w:bidi="hi-IN"/>
        </w:rPr>
        <w:t>ольства України від 08.08.2019 року №447</w:t>
      </w:r>
      <w:r w:rsidR="001C78E2" w:rsidRPr="001C78E2">
        <w:rPr>
          <w:rFonts w:ascii="Times New Roman" w:hAnsi="Times New Roman"/>
          <w:kern w:val="2"/>
          <w:lang w:eastAsia="hi-IN" w:bidi="hi-IN"/>
        </w:rPr>
        <w:t>.</w:t>
      </w:r>
    </w:p>
    <w:p w:rsidR="00D918A7" w:rsidRDefault="00D918A7">
      <w:pPr>
        <w:pStyle w:val="10"/>
        <w:suppressAutoHyphens/>
        <w:spacing w:after="0" w:line="240" w:lineRule="auto"/>
        <w:ind w:left="0"/>
        <w:jc w:val="both"/>
        <w:rPr>
          <w:rFonts w:ascii="Times New Roman" w:hAnsi="Times New Roman"/>
          <w:kern w:val="2"/>
          <w:lang w:eastAsia="hi-IN" w:bidi="hi-IN"/>
        </w:rPr>
      </w:pPr>
    </w:p>
    <w:p w:rsidR="00D918A7" w:rsidRDefault="005612D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ru-RU"/>
        </w:rPr>
      </w:pPr>
      <w:r>
        <w:rPr>
          <w:rFonts w:ascii="Times New Roman" w:hAnsi="Times New Roman" w:cs="Times New Roman"/>
          <w:color w:val="auto"/>
          <w:kern w:val="2"/>
          <w:szCs w:val="22"/>
          <w:lang w:val="ru-RU" w:eastAsia="hi-IN" w:bidi="hi-IN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>
        <w:rPr>
          <w:rFonts w:ascii="Times New Roman" w:hAnsi="Times New Roman" w:cs="Times New Roman"/>
          <w:color w:val="auto"/>
          <w:kern w:val="2"/>
          <w:szCs w:val="22"/>
          <w:lang w:val="ru-RU" w:eastAsia="hi-IN" w:bidi="hi-IN"/>
        </w:rPr>
        <w:t>транспортування, навантаження, розвантаження. 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</w:t>
      </w:r>
    </w:p>
    <w:p w:rsidR="00D918A7" w:rsidRDefault="00D918A7">
      <w:pPr>
        <w:ind w:firstLine="936"/>
        <w:jc w:val="both"/>
        <w:rPr>
          <w:rFonts w:ascii="Times New Roman" w:eastAsia="Times New Roman" w:hAnsi="Times New Roman" w:cs="Times New Roman"/>
          <w:lang w:eastAsia="uk-UA"/>
        </w:rPr>
      </w:pPr>
    </w:p>
    <w:p w:rsidR="00D918A7" w:rsidRDefault="005612D8">
      <w:pPr>
        <w:ind w:firstLine="936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*Учасник повинен підтвердити інформацію про </w:t>
      </w:r>
      <w:r>
        <w:rPr>
          <w:rFonts w:ascii="Times New Roman" w:eastAsia="Times New Roman" w:hAnsi="Times New Roman" w:cs="Times New Roman"/>
          <w:lang w:eastAsia="uk-UA"/>
        </w:rPr>
        <w:t>технічні, якісні та кількісні вимоги замовника.</w:t>
      </w:r>
    </w:p>
    <w:p w:rsidR="00D918A7" w:rsidRDefault="00561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Доставка продукції буде здійснюватись до наступних освітніх закладів: </w:t>
      </w:r>
    </w:p>
    <w:p w:rsidR="00D918A7" w:rsidRDefault="00561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Дуліби школа гімназія, Конюхівський НВК , Довголуцька СЗОШ І-ІІ ст., Дулібський НВК , Гірненський НВК , Любинцівський НВК ,  Н. Стинавськ</w:t>
      </w:r>
      <w:r>
        <w:rPr>
          <w:rFonts w:ascii="Times New Roman" w:hAnsi="Times New Roman" w:cs="Times New Roman"/>
          <w:sz w:val="24"/>
          <w:szCs w:val="24"/>
        </w:rPr>
        <w:t>ий ЗДО, В. Стинавський НВК, Довголуцький ЗДО.</w:t>
      </w:r>
    </w:p>
    <w:p w:rsidR="00D918A7" w:rsidRDefault="00D918A7">
      <w:pPr>
        <w:spacing w:after="200" w:line="276" w:lineRule="auto"/>
        <w:rPr>
          <w:rFonts w:ascii="Calibri" w:hAnsi="Calibri"/>
        </w:rPr>
      </w:pPr>
    </w:p>
    <w:p w:rsidR="00D918A7" w:rsidRDefault="005612D8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Графік поставок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1701"/>
        <w:gridCol w:w="1701"/>
        <w:gridCol w:w="1701"/>
      </w:tblGrid>
      <w:tr w:rsidR="00D918A7">
        <w:tc>
          <w:tcPr>
            <w:tcW w:w="1951" w:type="dxa"/>
            <w:tcBorders>
              <w:right w:val="single" w:sz="4" w:space="0" w:color="auto"/>
            </w:tcBorders>
          </w:tcPr>
          <w:p w:rsidR="00D918A7" w:rsidRDefault="005612D8">
            <w:pPr>
              <w:jc w:val="center"/>
              <w:rPr>
                <w:b/>
              </w:rPr>
            </w:pPr>
            <w:r>
              <w:rPr>
                <w:b/>
              </w:rPr>
              <w:t>Маршрут 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18A7" w:rsidRDefault="005612D8">
            <w:pPr>
              <w:jc w:val="center"/>
              <w:rPr>
                <w:b/>
              </w:rPr>
            </w:pPr>
            <w:r>
              <w:rPr>
                <w:b/>
              </w:rPr>
              <w:t>Дні завезення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18A7" w:rsidRDefault="005612D8">
            <w:pPr>
              <w:jc w:val="center"/>
              <w:rPr>
                <w:b/>
              </w:rPr>
            </w:pPr>
            <w:r>
              <w:rPr>
                <w:b/>
              </w:rPr>
              <w:t>Маршрут ІІ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pPr>
              <w:jc w:val="center"/>
              <w:rPr>
                <w:b/>
              </w:rPr>
            </w:pPr>
            <w:r>
              <w:rPr>
                <w:b/>
              </w:rPr>
              <w:t>Дні завезення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pPr>
              <w:jc w:val="center"/>
              <w:rPr>
                <w:b/>
              </w:rPr>
            </w:pPr>
            <w:r>
              <w:rPr>
                <w:b/>
              </w:rPr>
              <w:t>Маршрут ІІ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pPr>
              <w:jc w:val="center"/>
              <w:rPr>
                <w:b/>
              </w:rPr>
            </w:pPr>
            <w:r>
              <w:rPr>
                <w:b/>
              </w:rPr>
              <w:t>Дні завезення</w:t>
            </w:r>
          </w:p>
        </w:tc>
      </w:tr>
      <w:tr w:rsidR="00D918A7">
        <w:tc>
          <w:tcPr>
            <w:tcW w:w="1951" w:type="dxa"/>
            <w:tcBorders>
              <w:right w:val="single" w:sz="4" w:space="0" w:color="auto"/>
            </w:tcBorders>
          </w:tcPr>
          <w:p w:rsidR="00D918A7" w:rsidRDefault="005612D8">
            <w:r>
              <w:t xml:space="preserve">Дуліби школа гімназія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18A7" w:rsidRDefault="005612D8">
            <w:r>
              <w:t>Вівторок , п’ятниця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18A7" w:rsidRDefault="005612D8">
            <w:r>
              <w:t>Дулібський НВК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r>
              <w:t xml:space="preserve">Вівторок ,  п’ятниця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18A7" w:rsidRDefault="005612D8">
            <w:r>
              <w:t>Н. Стинавський ЗДО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r>
              <w:t xml:space="preserve">Вівторок , п’ятниця </w:t>
            </w:r>
          </w:p>
        </w:tc>
      </w:tr>
      <w:tr w:rsidR="00D918A7">
        <w:tc>
          <w:tcPr>
            <w:tcW w:w="1951" w:type="dxa"/>
            <w:tcBorders>
              <w:right w:val="single" w:sz="4" w:space="0" w:color="auto"/>
            </w:tcBorders>
          </w:tcPr>
          <w:p w:rsidR="00D918A7" w:rsidRDefault="005612D8">
            <w:r>
              <w:t>Конюхівський НВК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18A7" w:rsidRDefault="005612D8">
            <w:r>
              <w:t>Вівторок , п’ятниця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18A7" w:rsidRDefault="005612D8">
            <w:r>
              <w:t>Гірненський НВК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r>
              <w:t>Вівторок , п’ятниця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18A7" w:rsidRDefault="005612D8">
            <w:r>
              <w:t>В. Стинавський НВК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r>
              <w:t xml:space="preserve">Вівторок , пятниця </w:t>
            </w:r>
          </w:p>
        </w:tc>
      </w:tr>
      <w:tr w:rsidR="00D918A7">
        <w:tc>
          <w:tcPr>
            <w:tcW w:w="1951" w:type="dxa"/>
            <w:tcBorders>
              <w:right w:val="single" w:sz="4" w:space="0" w:color="auto"/>
            </w:tcBorders>
          </w:tcPr>
          <w:p w:rsidR="00D918A7" w:rsidRDefault="005612D8">
            <w:r>
              <w:t>Довголуцька СЗОШ І-ІІ ст.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18A7" w:rsidRDefault="005612D8">
            <w:r>
              <w:t xml:space="preserve">Вівторок , </w:t>
            </w:r>
          </w:p>
          <w:p w:rsidR="00D918A7" w:rsidRDefault="005612D8">
            <w:r>
              <w:t>П’ятниця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18A7" w:rsidRDefault="005612D8">
            <w:r>
              <w:t>Любинцівський НВК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r>
              <w:t xml:space="preserve">Вівторок ,  п’ятниця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r>
              <w:t>Довголуцький ЗДО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5612D8">
            <w:r>
              <w:t xml:space="preserve">Вівторок , </w:t>
            </w:r>
            <w:r>
              <w:t>п’ятниця</w:t>
            </w:r>
          </w:p>
        </w:tc>
      </w:tr>
      <w:tr w:rsidR="00D918A7">
        <w:tc>
          <w:tcPr>
            <w:tcW w:w="1951" w:type="dxa"/>
            <w:tcBorders>
              <w:right w:val="single" w:sz="4" w:space="0" w:color="auto"/>
            </w:tcBorders>
          </w:tcPr>
          <w:p w:rsidR="00D918A7" w:rsidRDefault="00D918A7"/>
        </w:tc>
        <w:tc>
          <w:tcPr>
            <w:tcW w:w="1418" w:type="dxa"/>
            <w:tcBorders>
              <w:left w:val="single" w:sz="4" w:space="0" w:color="auto"/>
            </w:tcBorders>
          </w:tcPr>
          <w:p w:rsidR="00D918A7" w:rsidRDefault="00D918A7"/>
        </w:tc>
        <w:tc>
          <w:tcPr>
            <w:tcW w:w="1842" w:type="dxa"/>
            <w:tcBorders>
              <w:right w:val="single" w:sz="4" w:space="0" w:color="auto"/>
            </w:tcBorders>
          </w:tcPr>
          <w:p w:rsidR="00D918A7" w:rsidRDefault="00D918A7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D918A7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D918A7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8A7" w:rsidRDefault="00D918A7"/>
        </w:tc>
      </w:tr>
    </w:tbl>
    <w:p w:rsidR="00D918A7" w:rsidRDefault="005612D8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Поставка продуктів проводиться згідно графіку, можливе завезення продуктів поза графіком по  потребі,  в установи освіти. </w:t>
      </w:r>
    </w:p>
    <w:p w:rsidR="00D918A7" w:rsidRDefault="0056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Завезення проводиться з 07.30 по 14.00 год. </w:t>
      </w:r>
    </w:p>
    <w:p w:rsidR="00D918A7" w:rsidRDefault="00D918A7"/>
    <w:sectPr w:rsidR="00D918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D8" w:rsidRDefault="005612D8">
      <w:pPr>
        <w:spacing w:line="240" w:lineRule="auto"/>
      </w:pPr>
      <w:r>
        <w:separator/>
      </w:r>
    </w:p>
  </w:endnote>
  <w:endnote w:type="continuationSeparator" w:id="0">
    <w:p w:rsidR="005612D8" w:rsidRDefault="00561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D8" w:rsidRDefault="005612D8">
      <w:pPr>
        <w:spacing w:after="0"/>
      </w:pPr>
      <w:r>
        <w:separator/>
      </w:r>
    </w:p>
  </w:footnote>
  <w:footnote w:type="continuationSeparator" w:id="0">
    <w:p w:rsidR="005612D8" w:rsidRDefault="00561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4604"/>
    <w:multiLevelType w:val="multilevel"/>
    <w:tmpl w:val="29B9460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9E"/>
    <w:rsid w:val="001C78E2"/>
    <w:rsid w:val="0051513E"/>
    <w:rsid w:val="005612D8"/>
    <w:rsid w:val="006A2C9E"/>
    <w:rsid w:val="009B5161"/>
    <w:rsid w:val="00A21E55"/>
    <w:rsid w:val="00CC487E"/>
    <w:rsid w:val="00D918A7"/>
    <w:rsid w:val="0AA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9712-3333-4AF2-856D-D27A012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pPr>
      <w:spacing w:line="276" w:lineRule="auto"/>
    </w:pPr>
    <w:rPr>
      <w:rFonts w:ascii="Arial" w:eastAsia="Times New Roman" w:hAnsi="Arial" w:cs="Arial"/>
      <w:color w:val="000000"/>
      <w:sz w:val="22"/>
      <w:lang w:val="en-US" w:eastAsia="en-US"/>
    </w:rPr>
  </w:style>
  <w:style w:type="paragraph" w:customStyle="1" w:styleId="10">
    <w:name w:val="Абзац списку1"/>
    <w:basedOn w:val="a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0"/>
    <w:qFormat/>
    <w:locked/>
    <w:rPr>
      <w:rFonts w:ascii="Calibri" w:eastAsia="Times New Roman" w:hAnsi="Calibri" w:cs="Times New Roman"/>
    </w:rPr>
  </w:style>
  <w:style w:type="character" w:customStyle="1" w:styleId="2">
    <w:name w:val="Основной текст (2)"/>
    <w:rPr>
      <w:rFonts w:ascii="Times New Roman" w:hAnsi="Times New Roman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3">
    <w:name w:val="Без интервала Знак"/>
    <w:link w:val="a4"/>
    <w:uiPriority w:val="99"/>
    <w:qFormat/>
    <w:locked/>
  </w:style>
  <w:style w:type="paragraph" w:styleId="a4">
    <w:name w:val="No Spacing"/>
    <w:link w:val="a3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6242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Користувач2</dc:creator>
  <cp:lastModifiedBy>Користувач2</cp:lastModifiedBy>
  <cp:revision>2</cp:revision>
  <dcterms:created xsi:type="dcterms:W3CDTF">2023-11-27T14:39:00Z</dcterms:created>
  <dcterms:modified xsi:type="dcterms:W3CDTF">2023-11-27T14:39:00Z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001F0D6E82E743D7BF8FA0D19B0607DD_12</vt:lpwstr>
  </property>
</Properties>
</file>