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bookmarkStart w:id="0" w:name="_GoBack"/>
      <w:bookmarkEnd w:id="0"/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2928F6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 w:rsidRPr="003800CE">
              <w:t>1.</w:t>
            </w:r>
            <w:r w:rsidRPr="003800CE">
              <w:rPr>
                <w:rStyle w:val="apple-converted-space"/>
              </w:rPr>
              <w:t xml:space="preserve"> Н</w:t>
            </w:r>
            <w:r w:rsidRPr="003800CE">
              <w:rPr>
                <w:rStyle w:val="rvts0"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E9C" w:rsidRDefault="00824946" w:rsidP="003800C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3800CE">
              <w:rPr>
                <w:lang w:val="uk-UA"/>
              </w:rPr>
              <w:t xml:space="preserve">Довідка </w:t>
            </w:r>
            <w:r w:rsidR="00F054D0" w:rsidRPr="003800CE">
              <w:rPr>
                <w:lang w:val="uk-UA"/>
              </w:rPr>
              <w:t>(</w:t>
            </w:r>
            <w:r w:rsidRPr="003800CE">
              <w:rPr>
                <w:lang w:val="uk-UA"/>
              </w:rPr>
              <w:t>у довільній формі</w:t>
            </w:r>
            <w:r w:rsidR="00F054D0" w:rsidRPr="003800CE">
              <w:rPr>
                <w:lang w:val="uk-UA"/>
              </w:rPr>
              <w:t>)</w:t>
            </w:r>
            <w:r w:rsidRPr="003800CE">
              <w:rPr>
                <w:lang w:val="uk-UA"/>
              </w:rPr>
              <w:t xml:space="preserve"> про наявність в учасника процедури закупівлі обладнання, матеріально-технічної бази та технологій, необхідних для постачання товару за предметом закупівлі</w:t>
            </w:r>
            <w:r w:rsidR="00A97E9C">
              <w:rPr>
                <w:lang w:val="uk-UA"/>
              </w:rPr>
              <w:t>.</w:t>
            </w:r>
          </w:p>
          <w:p w:rsidR="002928F6" w:rsidRPr="003800CE" w:rsidRDefault="00D31F97" w:rsidP="008823C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3800CE">
              <w:rPr>
                <w:lang w:val="uk-UA"/>
              </w:rPr>
              <w:t>Учасник повинен надати підтвердження</w:t>
            </w:r>
            <w:r w:rsidR="00DE1393" w:rsidRPr="003800CE">
              <w:rPr>
                <w:lang w:val="uk-UA"/>
              </w:rPr>
              <w:t xml:space="preserve"> наявності в учасника приміщення</w:t>
            </w:r>
            <w:r w:rsidR="00FB5C89">
              <w:rPr>
                <w:lang w:val="uk-UA"/>
              </w:rPr>
              <w:t>,</w:t>
            </w:r>
            <w:r w:rsidR="00DE1393" w:rsidRPr="003800CE">
              <w:rPr>
                <w:lang w:val="uk-UA"/>
              </w:rPr>
              <w:t xml:space="preserve"> </w:t>
            </w:r>
            <w:r w:rsidR="008A2D95" w:rsidRPr="003800CE">
              <w:rPr>
                <w:lang w:val="uk-UA"/>
              </w:rPr>
              <w:t xml:space="preserve">або </w:t>
            </w:r>
            <w:r w:rsidR="00DE1393" w:rsidRPr="003800CE">
              <w:rPr>
                <w:lang w:val="uk-UA"/>
              </w:rPr>
              <w:t>власного окремого структурного підрозділу</w:t>
            </w:r>
            <w:r w:rsidR="00DE1393" w:rsidRPr="00F11C78">
              <w:rPr>
                <w:lang w:val="uk-UA"/>
              </w:rPr>
              <w:t xml:space="preserve"> </w:t>
            </w:r>
            <w:r w:rsidR="008D7E0B" w:rsidRPr="008D7E0B">
              <w:rPr>
                <w:lang w:val="uk-UA"/>
              </w:rPr>
              <w:t>території Рівненської області, або посадової особи з робочим місцем на території Рівненської області</w:t>
            </w:r>
            <w:r w:rsidR="007A4777">
              <w:rPr>
                <w:lang w:val="uk-UA"/>
              </w:rPr>
              <w:t>, та надати</w:t>
            </w:r>
            <w:r w:rsidR="00A97E9C" w:rsidRPr="00F11C78">
              <w:rPr>
                <w:lang w:val="uk-UA"/>
              </w:rPr>
              <w:t xml:space="preserve"> </w:t>
            </w:r>
            <w:r w:rsidR="00A97E9C" w:rsidRPr="00A97E9C">
              <w:rPr>
                <w:lang w:val="uk-UA"/>
              </w:rPr>
              <w:t>копію (копії) документа (документів), що підтверджує право власності учасника на нерухомість та/або копію (копії) договору (договорів) оренди</w:t>
            </w:r>
            <w:r w:rsidR="004D5CE5">
              <w:rPr>
                <w:lang w:val="uk-UA"/>
              </w:rPr>
              <w:t xml:space="preserve">, а також </w:t>
            </w:r>
            <w:r w:rsidR="004D5CE5" w:rsidRPr="008E7D1E">
              <w:rPr>
                <w:lang w:val="uk-UA"/>
              </w:rPr>
              <w:t>копії платіжних документів (квитанції, платіжні доручення тощо)</w:t>
            </w:r>
            <w:r w:rsidR="004D5CE5">
              <w:rPr>
                <w:lang w:val="uk-UA"/>
              </w:rPr>
              <w:t xml:space="preserve"> відповідно</w:t>
            </w:r>
            <w:r w:rsidR="004D5CE5" w:rsidRPr="008E7D1E">
              <w:rPr>
                <w:lang w:val="uk-UA"/>
              </w:rPr>
              <w:t xml:space="preserve"> до умов встановлених таким документом (договором). Учасник при подачі платіжних документів може не показувати відомості щодо суми проведених платежів».</w:t>
            </w:r>
          </w:p>
        </w:tc>
      </w:tr>
      <w:tr w:rsidR="00C33A60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60" w:rsidRPr="003800CE" w:rsidRDefault="002928F6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</w:rPr>
            </w:pPr>
            <w:r w:rsidRPr="003800CE">
              <w:rPr>
                <w:bCs/>
                <w:color w:val="000000"/>
              </w:rPr>
              <w:t>2</w:t>
            </w:r>
            <w:r w:rsidR="00C33A60" w:rsidRPr="003800CE">
              <w:rPr>
                <w:bCs/>
                <w:color w:val="000000"/>
              </w:rPr>
              <w:t xml:space="preserve">. Наявність в учасника процедури закупівлі працівників відповідної кваліфікації, які мають необхідні знання та досвід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60" w:rsidRPr="003800CE" w:rsidRDefault="00F054D0" w:rsidP="003800CE">
            <w:pPr>
              <w:spacing w:line="100" w:lineRule="atLeast"/>
              <w:ind w:right="22"/>
              <w:jc w:val="both"/>
              <w:rPr>
                <w:bCs/>
                <w:color w:val="000000"/>
              </w:rPr>
            </w:pPr>
            <w:r w:rsidRPr="003800CE">
              <w:t>Довідка (</w:t>
            </w:r>
            <w:r w:rsidR="0091076E" w:rsidRPr="003800CE">
              <w:t>за</w:t>
            </w:r>
            <w:r w:rsidRPr="003800CE">
              <w:t xml:space="preserve"> форм</w:t>
            </w:r>
            <w:r w:rsidR="0091076E" w:rsidRPr="003800CE">
              <w:t>ою 1 до цього Додатку</w:t>
            </w:r>
            <w:r w:rsidRPr="003800CE">
              <w:t xml:space="preserve">) </w:t>
            </w:r>
            <w:r w:rsidR="00C33A60" w:rsidRPr="003800CE">
              <w:rPr>
                <w:bCs/>
                <w:color w:val="000000"/>
              </w:rPr>
              <w:t>про наявність працівників</w:t>
            </w:r>
            <w:r w:rsidR="00724F8C" w:rsidRPr="003800CE">
              <w:rPr>
                <w:bCs/>
                <w:color w:val="000000"/>
              </w:rPr>
              <w:t xml:space="preserve"> </w:t>
            </w:r>
            <w:r w:rsidR="00724F8C" w:rsidRPr="003800CE">
              <w:rPr>
                <w:bCs/>
              </w:rPr>
              <w:t>відповідної кваліфікації</w:t>
            </w:r>
            <w:r w:rsidR="00ED0888" w:rsidRPr="003800CE">
              <w:rPr>
                <w:bCs/>
              </w:rPr>
              <w:t>,</w:t>
            </w:r>
            <w:r w:rsidR="00ED0888" w:rsidRPr="003800CE">
              <w:rPr>
                <w:bCs/>
                <w:color w:val="000000"/>
              </w:rPr>
              <w:t xml:space="preserve"> які мають необхідні знання та досвід</w:t>
            </w:r>
            <w:r w:rsidRPr="003800CE">
              <w:rPr>
                <w:bCs/>
                <w:color w:val="000000"/>
              </w:rPr>
              <w:t>.</w:t>
            </w:r>
          </w:p>
          <w:p w:rsidR="00C33A60" w:rsidRPr="003800CE" w:rsidRDefault="002928F6" w:rsidP="00A7357D">
            <w:pPr>
              <w:ind w:right="113"/>
              <w:jc w:val="both"/>
            </w:pPr>
            <w:r w:rsidRPr="003800CE">
              <w:t>На підтвердження інформації</w:t>
            </w:r>
            <w:r w:rsidR="00BF6B13" w:rsidRPr="003800CE">
              <w:t>,</w:t>
            </w:r>
            <w:r w:rsidRPr="003800CE">
              <w:t xml:space="preserve"> </w:t>
            </w:r>
            <w:r w:rsidR="00BF6B13" w:rsidRPr="003800CE">
              <w:t xml:space="preserve">зазначеній у довідці, </w:t>
            </w:r>
            <w:r w:rsidRPr="003800CE">
              <w:t>учасник повинен надати накази (витяги з наказів) про призначення на посади ос</w:t>
            </w:r>
            <w:r w:rsidR="00D426C7" w:rsidRPr="003800CE">
              <w:t>іб, про яких надано інформацію.</w:t>
            </w:r>
            <w:r w:rsidR="00A7357D" w:rsidRPr="00B72960">
              <w:t xml:space="preserve"> 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2928F6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 w:rsidRPr="003800CE">
              <w:rPr>
                <w:lang w:val="ru-RU"/>
              </w:rPr>
              <w:t>3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формою </w:t>
            </w:r>
            <w:r w:rsidR="0091076E" w:rsidRPr="003800CE">
              <w:rPr>
                <w:lang w:eastAsia="ru-RU"/>
              </w:rPr>
              <w:t>2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D238B1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2928F6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 w:rsidRPr="003800CE">
              <w:t>4.</w:t>
            </w:r>
            <w:r w:rsidRPr="003800CE">
              <w:rPr>
                <w:rStyle w:val="apple-converted-space"/>
              </w:rPr>
              <w:t xml:space="preserve"> </w:t>
            </w:r>
            <w:r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 xml:space="preserve">давалась у </w:t>
            </w:r>
            <w:r w:rsidRPr="00BE791C">
              <w:lastRenderedPageBreak/>
              <w:t>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BE791C" w:rsidRDefault="00D76506" w:rsidP="00D76506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  <w:p w:rsidR="00D76506" w:rsidRPr="00D76506" w:rsidRDefault="00D76506" w:rsidP="00BE791C">
            <w:pPr>
              <w:jc w:val="both"/>
              <w:rPr>
                <w:sz w:val="23"/>
                <w:szCs w:val="23"/>
              </w:rPr>
            </w:pPr>
            <w:r w:rsidRPr="00BE791C">
              <w:t xml:space="preserve">У разі наявності збитковості діяльності учасника </w:t>
            </w:r>
            <w:r w:rsidR="00BE791C">
              <w:t>за останній</w:t>
            </w:r>
            <w:r w:rsidRPr="00BE791C">
              <w:t xml:space="preserve"> звітн</w:t>
            </w:r>
            <w:r w:rsidR="00BE791C">
              <w:t>ий</w:t>
            </w:r>
            <w:r w:rsidRPr="00BE791C">
              <w:t xml:space="preserve"> період, учасник може надати </w:t>
            </w:r>
            <w:r w:rsidRPr="00BE791C">
              <w:rPr>
                <w:color w:val="000000" w:themeColor="text1"/>
              </w:rPr>
              <w:t>проміжну фінансову звітність</w:t>
            </w:r>
            <w:r w:rsidR="00BE791C">
              <w:rPr>
                <w:color w:val="000000" w:themeColor="text1"/>
              </w:rPr>
              <w:t>,</w:t>
            </w:r>
            <w:r w:rsidR="00BE791C" w:rsidRPr="00BE791C">
              <w:rPr>
                <w:color w:val="000000" w:themeColor="text1"/>
              </w:rPr>
              <w:t xml:space="preserve"> що охоплює відповідні періоди </w:t>
            </w:r>
            <w:r w:rsidR="00BE791C" w:rsidRPr="00BE791C">
              <w:t>(перший квартал, перше півріччя,</w:t>
            </w:r>
            <w:r w:rsidR="00BE791C" w:rsidRPr="00BE791C">
              <w:rPr>
                <w:color w:val="000000" w:themeColor="text1"/>
              </w:rPr>
              <w:t xml:space="preserve"> дев’ять місяців)</w:t>
            </w:r>
            <w:r w:rsidRPr="00BE791C">
              <w:rPr>
                <w:color w:val="000000" w:themeColor="text1"/>
              </w:rPr>
              <w:t xml:space="preserve"> наростаючим підсумком з початку </w:t>
            </w:r>
            <w:r w:rsidR="00BE791C" w:rsidRPr="00BE791C">
              <w:rPr>
                <w:color w:val="000000" w:themeColor="text1"/>
              </w:rPr>
              <w:t>поточного звітного року</w:t>
            </w:r>
            <w:r w:rsidRPr="00BE791C">
              <w:rPr>
                <w:color w:val="000000" w:themeColor="text1"/>
              </w:rPr>
              <w:t xml:space="preserve">, </w:t>
            </w:r>
            <w:r w:rsidR="00097041" w:rsidRPr="00BE791C">
              <w:rPr>
                <w:color w:val="000000" w:themeColor="text1"/>
              </w:rPr>
              <w:t>яка</w:t>
            </w:r>
            <w:r w:rsidRPr="00BE791C">
              <w:rPr>
                <w:color w:val="000000" w:themeColor="text1"/>
              </w:rPr>
              <w:t xml:space="preserve"> підтверджуватиме беззбиткову господарську діяльність учасника у поточному періоді.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E5" w:rsidRDefault="00771BE5" w:rsidP="00097041">
      <w:r>
        <w:separator/>
      </w:r>
    </w:p>
  </w:endnote>
  <w:endnote w:type="continuationSeparator" w:id="0">
    <w:p w:rsidR="00771BE5" w:rsidRDefault="00771BE5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E5" w:rsidRDefault="00771BE5" w:rsidP="00097041">
      <w:r>
        <w:separator/>
      </w:r>
    </w:p>
  </w:footnote>
  <w:footnote w:type="continuationSeparator" w:id="0">
    <w:p w:rsidR="00771BE5" w:rsidRDefault="00771BE5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5134F"/>
    <w:rsid w:val="001D078A"/>
    <w:rsid w:val="002928F6"/>
    <w:rsid w:val="002D1243"/>
    <w:rsid w:val="003800CE"/>
    <w:rsid w:val="00386B3B"/>
    <w:rsid w:val="00436700"/>
    <w:rsid w:val="00474002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724F8C"/>
    <w:rsid w:val="00771BE5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5F59"/>
    <w:rsid w:val="008D7E0B"/>
    <w:rsid w:val="0091076E"/>
    <w:rsid w:val="00920C2A"/>
    <w:rsid w:val="0093127F"/>
    <w:rsid w:val="00940A49"/>
    <w:rsid w:val="00972F42"/>
    <w:rsid w:val="009D02A7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8241A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6EB7"/>
    <w:rsid w:val="00E64993"/>
    <w:rsid w:val="00E75E80"/>
    <w:rsid w:val="00EB3E49"/>
    <w:rsid w:val="00ED0635"/>
    <w:rsid w:val="00ED0888"/>
    <w:rsid w:val="00EE3589"/>
    <w:rsid w:val="00EE60E1"/>
    <w:rsid w:val="00F054D0"/>
    <w:rsid w:val="00F11C78"/>
    <w:rsid w:val="00F73D54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2FB0-0C9D-4E2F-8364-50903C59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</cp:revision>
  <cp:lastPrinted>2020-10-09T15:20:00Z</cp:lastPrinted>
  <dcterms:created xsi:type="dcterms:W3CDTF">2021-11-25T11:01:00Z</dcterms:created>
  <dcterms:modified xsi:type="dcterms:W3CDTF">2021-11-25T11:01:00Z</dcterms:modified>
</cp:coreProperties>
</file>