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b"/>
                          <w:rPr>
                            <w:rFonts w:ascii="Times New Roman" w:hAnsi="Times New Roman" w:cs="Times New Roman"/>
                            <w:color w:val="auto"/>
                          </w:rPr>
                        </w:pPr>
                        <w:r w:rsidRPr="00326D72">
                          <w:rPr>
                            <w:rFonts w:ascii="Times New Roman" w:hAnsi="Times New Roman" w:cs="Times New Roman"/>
                            <w:color w:val="auto"/>
                          </w:rPr>
                          <w:t>по Шевченківському району з питань організації та проведення процедур закупівель</w:t>
                        </w:r>
                        <w:r w:rsidR="00257533" w:rsidRPr="00326D72">
                          <w:rPr>
                            <w:rFonts w:ascii="Times New Roman" w:hAnsi="Times New Roman" w:cs="Times New Roman"/>
                            <w:color w:val="auto"/>
                          </w:rPr>
                          <w:t>/спрощених закупівель</w:t>
                        </w:r>
                      </w:p>
                      <w:p w14:paraId="50B699BC" w14:textId="12CA2463" w:rsidR="004D69D3" w:rsidRPr="001553CD" w:rsidRDefault="00257533" w:rsidP="00213ACC">
                        <w:pPr>
                          <w:pStyle w:val="1b"/>
                          <w:rPr>
                            <w:rFonts w:ascii="Times New Roman" w:hAnsi="Times New Roman" w:cs="Times New Roman"/>
                            <w:color w:val="auto"/>
                          </w:rPr>
                        </w:pPr>
                        <w:r w:rsidRPr="00326D72">
                          <w:rPr>
                            <w:rFonts w:ascii="Times New Roman" w:hAnsi="Times New Roman" w:cs="Times New Roman"/>
                            <w:color w:val="auto"/>
                          </w:rPr>
                          <w:t xml:space="preserve">протокол № </w:t>
                        </w:r>
                        <w:r w:rsidR="00557500">
                          <w:rPr>
                            <w:rFonts w:ascii="Times New Roman" w:hAnsi="Times New Roman" w:cs="Times New Roman"/>
                            <w:color w:val="auto"/>
                            <w:lang w:val="uk-UA"/>
                          </w:rPr>
                          <w:t>0</w:t>
                        </w:r>
                        <w:r w:rsidR="00E506C6">
                          <w:rPr>
                            <w:rFonts w:ascii="Times New Roman" w:hAnsi="Times New Roman" w:cs="Times New Roman"/>
                            <w:color w:val="auto"/>
                            <w:lang w:val="uk-UA"/>
                          </w:rPr>
                          <w:t>7</w:t>
                        </w:r>
                        <w:r w:rsidR="001553CD">
                          <w:rPr>
                            <w:rFonts w:ascii="Times New Roman" w:hAnsi="Times New Roman" w:cs="Times New Roman"/>
                            <w:color w:val="auto"/>
                          </w:rPr>
                          <w:t xml:space="preserve"> </w:t>
                        </w:r>
                        <w:r w:rsidR="00923BC2" w:rsidRPr="00326D72">
                          <w:rPr>
                            <w:rFonts w:ascii="Times New Roman" w:hAnsi="Times New Roman" w:cs="Times New Roman"/>
                            <w:color w:val="auto"/>
                          </w:rPr>
                          <w:t xml:space="preserve">від </w:t>
                        </w:r>
                        <w:r w:rsidR="00557500">
                          <w:rPr>
                            <w:rFonts w:ascii="Times New Roman" w:hAnsi="Times New Roman" w:cs="Times New Roman"/>
                            <w:color w:val="auto"/>
                            <w:lang w:val="uk-UA"/>
                          </w:rPr>
                          <w:t>1</w:t>
                        </w:r>
                        <w:r w:rsidR="00E506C6">
                          <w:rPr>
                            <w:rFonts w:ascii="Times New Roman" w:hAnsi="Times New Roman" w:cs="Times New Roman"/>
                            <w:color w:val="auto"/>
                            <w:lang w:val="uk-UA"/>
                          </w:rPr>
                          <w:t>6</w:t>
                        </w:r>
                        <w:r w:rsidR="00923BC2" w:rsidRPr="00326D72">
                          <w:rPr>
                            <w:rFonts w:ascii="Times New Roman" w:hAnsi="Times New Roman" w:cs="Times New Roman"/>
                            <w:color w:val="auto"/>
                          </w:rPr>
                          <w:t>.</w:t>
                        </w:r>
                        <w:r w:rsidR="001553CD">
                          <w:rPr>
                            <w:rFonts w:ascii="Times New Roman" w:hAnsi="Times New Roman" w:cs="Times New Roman"/>
                            <w:color w:val="auto"/>
                          </w:rPr>
                          <w:t>01</w:t>
                        </w:r>
                        <w:r w:rsidR="00923BC2" w:rsidRPr="00326D72">
                          <w:rPr>
                            <w:rFonts w:ascii="Times New Roman" w:hAnsi="Times New Roman" w:cs="Times New Roman"/>
                            <w:color w:val="auto"/>
                          </w:rPr>
                          <w:t>.202</w:t>
                        </w:r>
                        <w:r w:rsidR="001553CD">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358C3B77"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r w:rsidR="00805CBD">
                    <w:rPr>
                      <w:rFonts w:ascii="Nimbus Roman No9 L" w:hAnsi="Nimbus Roman No9 L" w:cs="Nimbus Roman No9 L"/>
                      <w:b/>
                      <w:sz w:val="28"/>
                      <w:szCs w:val="28"/>
                    </w:rPr>
                    <w:t>(нова редакція)</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26412257"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36A80C95" w14:textId="77777777" w:rsidR="0099137A" w:rsidRDefault="0099137A" w:rsidP="0099137A">
            <w:pPr>
              <w:pStyle w:val="1b"/>
              <w:jc w:val="center"/>
              <w:rPr>
                <w:rFonts w:ascii="Times New Roman" w:hAnsi="Times New Roman" w:cs="Times New Roman"/>
                <w:b/>
                <w:bCs/>
                <w:iCs/>
                <w:sz w:val="32"/>
                <w:szCs w:val="32"/>
              </w:rPr>
            </w:pPr>
            <w:r w:rsidRPr="0099137A">
              <w:rPr>
                <w:rFonts w:ascii="Times New Roman" w:hAnsi="Times New Roman" w:cs="Times New Roman"/>
                <w:b/>
                <w:bCs/>
                <w:iCs/>
                <w:sz w:val="32"/>
                <w:szCs w:val="32"/>
              </w:rPr>
              <w:t xml:space="preserve">ДК 021:2015: </w:t>
            </w:r>
            <w:r w:rsidRPr="0099137A">
              <w:rPr>
                <w:rFonts w:ascii="Times New Roman" w:hAnsi="Times New Roman" w:cs="Times New Roman"/>
                <w:b/>
                <w:bCs/>
                <w:sz w:val="32"/>
                <w:szCs w:val="32"/>
              </w:rPr>
              <w:t>77210000-5 — Лісозаготівельні послуги</w:t>
            </w:r>
            <w:r w:rsidRPr="0099137A">
              <w:rPr>
                <w:rFonts w:ascii="Times New Roman" w:hAnsi="Times New Roman" w:cs="Times New Roman"/>
                <w:b/>
                <w:bCs/>
                <w:iCs/>
                <w:sz w:val="32"/>
                <w:szCs w:val="32"/>
              </w:rPr>
              <w:t xml:space="preserve"> </w:t>
            </w:r>
          </w:p>
          <w:p w14:paraId="126640D5" w14:textId="083D6714" w:rsidR="0099137A" w:rsidRPr="0099137A" w:rsidRDefault="0099137A" w:rsidP="0099137A">
            <w:pPr>
              <w:pStyle w:val="1b"/>
              <w:jc w:val="center"/>
              <w:rPr>
                <w:rFonts w:ascii="Times New Roman" w:hAnsi="Times New Roman" w:cs="Times New Roman"/>
                <w:b/>
                <w:bCs/>
                <w:i/>
                <w:iCs/>
                <w:sz w:val="32"/>
                <w:szCs w:val="32"/>
              </w:rPr>
            </w:pPr>
            <w:r w:rsidRPr="0099137A">
              <w:rPr>
                <w:rFonts w:ascii="Times New Roman" w:hAnsi="Times New Roman" w:cs="Times New Roman"/>
                <w:b/>
                <w:bCs/>
                <w:iCs/>
                <w:sz w:val="32"/>
                <w:szCs w:val="32"/>
              </w:rPr>
              <w:t xml:space="preserve">(Видалення та обрізка аварійно-небезпечних дерев </w:t>
            </w:r>
            <w:r w:rsidRPr="0099137A">
              <w:rPr>
                <w:rFonts w:ascii="Times New Roman" w:hAnsi="Times New Roman" w:cs="Times New Roman"/>
                <w:b/>
                <w:bCs/>
                <w:sz w:val="32"/>
                <w:szCs w:val="32"/>
              </w:rPr>
              <w:t>(оплата видатків із благоустрою населених пунктів)</w:t>
            </w:r>
          </w:p>
          <w:p w14:paraId="11700508" w14:textId="25A05193" w:rsidR="00754D06" w:rsidRPr="00754D06" w:rsidRDefault="00754D06" w:rsidP="00754D06">
            <w:pPr>
              <w:pStyle w:val="affa"/>
              <w:jc w:val="center"/>
              <w:rPr>
                <w:b/>
                <w:bCs/>
                <w:i/>
                <w:iCs/>
                <w:sz w:val="32"/>
                <w:szCs w:val="32"/>
              </w:rPr>
            </w:pP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r>
              <w:rPr>
                <w:rFonts w:ascii="Nimbus Roman No9 L" w:hAnsi="Nimbus Roman No9 L" w:cs="Nimbus Roman No9 L"/>
                <w:color w:val="000000"/>
                <w:lang w:eastAsia="uk-UA"/>
              </w:rPr>
              <w:t>Забезпечення тендерної пропозиції</w:t>
            </w:r>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r>
              <w:rPr>
                <w:rFonts w:ascii="Nimbus Roman No9 L" w:hAnsi="Nimbus Roman No9 L" w:cs="Nimbus Roman No9 L"/>
                <w:lang w:eastAsia="uk-UA"/>
              </w:rPr>
              <w:t>Умови повернення чи неповернення забезпечення тендерної пропозиції</w:t>
            </w:r>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Строк, протягом якого тендерні пропозиції є дійсними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r>
              <w:rPr>
                <w:rStyle w:val="rvts0"/>
                <w:rFonts w:ascii="Nimbus Roman No9 L" w:hAnsi="Nimbus Roman No9 L" w:cs="Nimbus Roman No9 L"/>
                <w:bCs/>
              </w:rPr>
              <w:t>Кінцевий строк подання тендерної пропозиції</w:t>
            </w:r>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rPr>
              <w:t>Додаток 1 Тендерна пропозиція</w:t>
            </w:r>
          </w:p>
        </w:tc>
      </w:tr>
      <w:tr w:rsidR="006317E9" w:rsidRPr="00805CBD"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r w:rsidRPr="00FA0263">
              <w:rPr>
                <w:rFonts w:ascii="Nimbus Roman No9 L" w:hAnsi="Nimbus Roman No9 L" w:cs="Nimbus Roman No9 L"/>
              </w:rPr>
              <w:t>Додаток 3. Проект договору про закупівлю</w:t>
            </w:r>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805CBD"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57500" w:rsidRDefault="002229C5" w:rsidP="00514FF3">
            <w:pPr>
              <w:pStyle w:val="1b"/>
              <w:jc w:val="both"/>
              <w:rPr>
                <w:rFonts w:ascii="Times New Roman" w:hAnsi="Times New Roman" w:cs="Times New Roman"/>
                <w:color w:val="auto"/>
                <w:sz w:val="24"/>
                <w:szCs w:val="24"/>
                <w:lang w:val="uk-UA"/>
              </w:rPr>
            </w:pPr>
            <w:r w:rsidRPr="00557500">
              <w:rPr>
                <w:rFonts w:ascii="Times New Roman" w:hAnsi="Times New Roman" w:cs="Times New Roman"/>
                <w:color w:val="auto"/>
                <w:sz w:val="24"/>
                <w:szCs w:val="24"/>
                <w:lang w:val="uk-UA"/>
              </w:rPr>
              <w:t xml:space="preserve">Сорока Марина Анатоліївна </w:t>
            </w:r>
            <w:r w:rsidR="00514FF3" w:rsidRPr="00557500">
              <w:rPr>
                <w:rFonts w:ascii="Times New Roman" w:hAnsi="Times New Roman" w:cs="Times New Roman"/>
                <w:color w:val="auto"/>
                <w:sz w:val="24"/>
                <w:szCs w:val="24"/>
                <w:lang w:val="uk-UA"/>
              </w:rPr>
              <w:t>уповноважена особа районної адміністрації Запорізької міської ради по Шевченківському району з питань організації та проведення процедур закупівель/спрощених закупівель,</w:t>
            </w:r>
            <w:r w:rsidR="00514FF3" w:rsidRPr="00557500">
              <w:rPr>
                <w:color w:val="auto"/>
                <w:lang w:val="uk-UA"/>
              </w:rPr>
              <w:t xml:space="preserve"> </w:t>
            </w:r>
            <w:r w:rsidRPr="00557500">
              <w:rPr>
                <w:rFonts w:ascii="Times New Roman" w:hAnsi="Times New Roman" w:cs="Times New Roman"/>
                <w:color w:val="auto"/>
                <w:sz w:val="24"/>
                <w:szCs w:val="24"/>
                <w:lang w:val="uk-UA"/>
              </w:rPr>
              <w:t>головний спеціаліст відділу економічн</w:t>
            </w:r>
            <w:r w:rsidR="0013251C" w:rsidRPr="00557500">
              <w:rPr>
                <w:rFonts w:ascii="Times New Roman" w:hAnsi="Times New Roman" w:cs="Times New Roman"/>
                <w:color w:val="auto"/>
                <w:sz w:val="24"/>
                <w:szCs w:val="24"/>
                <w:lang w:val="uk-UA"/>
              </w:rPr>
              <w:t>ого розвитку та підприємництва</w:t>
            </w:r>
          </w:p>
          <w:p w14:paraId="3E57C45C" w14:textId="7425E8F3" w:rsidR="002229C5" w:rsidRPr="00557500" w:rsidRDefault="002229C5" w:rsidP="00084DB0">
            <w:pPr>
              <w:pStyle w:val="affa"/>
            </w:pPr>
            <w:r w:rsidRPr="00557500">
              <w:t>Україна, Запорізька область, м.</w:t>
            </w:r>
            <w:r w:rsidR="00514FF3" w:rsidRPr="00557500">
              <w:t xml:space="preserve"> </w:t>
            </w:r>
            <w:r w:rsidRPr="00557500">
              <w:t xml:space="preserve">Запоріжжя, Шевченківський район, пр. Моторобудівників, буд. 34, 69068. </w:t>
            </w:r>
            <w:r w:rsidRPr="00557500">
              <w:rPr>
                <w:bCs/>
              </w:rPr>
              <w:t xml:space="preserve">тел. 0612899015 </w:t>
            </w:r>
          </w:p>
          <w:p w14:paraId="4814D9CF" w14:textId="161D87E4" w:rsidR="002229C5" w:rsidRPr="00557500" w:rsidRDefault="002229C5" w:rsidP="004D69D3">
            <w:pPr>
              <w:pStyle w:val="affa"/>
            </w:pPr>
            <w:r w:rsidRPr="00557500">
              <w:rPr>
                <w:lang w:val="en-US"/>
              </w:rPr>
              <w:t>e</w:t>
            </w:r>
            <w:r w:rsidRPr="00557500">
              <w:t>-</w:t>
            </w:r>
            <w:r w:rsidRPr="00557500">
              <w:rPr>
                <w:lang w:val="en-US"/>
              </w:rPr>
              <w:t>mail</w:t>
            </w:r>
            <w:r w:rsidRPr="00557500">
              <w:t xml:space="preserve">: </w:t>
            </w:r>
            <w:hyperlink r:id="rId8" w:history="1">
              <w:r w:rsidRPr="00557500">
                <w:rPr>
                  <w:rStyle w:val="aa"/>
                  <w:rFonts w:ascii="Nimbus Roman No9 L" w:hAnsi="Nimbus Roman No9 L" w:cs="Nimbus Roman No9 L"/>
                  <w:color w:val="auto"/>
                  <w:u w:val="none"/>
                </w:rPr>
                <w:t>shvra@meriazp.gov.ua</w:t>
              </w:r>
            </w:hyperlink>
            <w:r w:rsidRPr="00557500">
              <w:rPr>
                <w:rStyle w:val="aa"/>
                <w:rFonts w:ascii="Nimbus Roman No9 L" w:hAnsi="Nimbus Roman No9 L" w:cs="Nimbus Roman No9 L"/>
                <w:color w:val="auto"/>
                <w:u w:val="none"/>
              </w:rPr>
              <w:t xml:space="preserve">, </w:t>
            </w:r>
            <w:r w:rsidR="00A235CA" w:rsidRPr="00557500">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57500" w:rsidRDefault="002229C5" w:rsidP="003A4917">
            <w:pPr>
              <w:pStyle w:val="affa"/>
            </w:pPr>
            <w:r w:rsidRPr="00557500">
              <w:rPr>
                <w:b/>
                <w:bCs/>
              </w:rPr>
              <w:t>Відкриті торги</w:t>
            </w:r>
            <w:r w:rsidR="008128A3" w:rsidRPr="00557500">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6E25F2E2" w14:textId="07E5C166" w:rsidR="00BA3256" w:rsidRPr="00557500" w:rsidRDefault="00557500" w:rsidP="003A4917">
            <w:pPr>
              <w:pStyle w:val="affa"/>
              <w:rPr>
                <w:b/>
                <w:bCs/>
              </w:rPr>
            </w:pPr>
            <w:r w:rsidRPr="00557500">
              <w:rPr>
                <w:b/>
                <w:bCs/>
              </w:rPr>
              <w:t>549 938,00</w:t>
            </w:r>
            <w:r w:rsidR="006A1D8C" w:rsidRPr="00557500">
              <w:rPr>
                <w:b/>
                <w:bCs/>
              </w:rPr>
              <w:t xml:space="preserve"> з них:</w:t>
            </w:r>
          </w:p>
          <w:p w14:paraId="30B0AB6F" w14:textId="77777777" w:rsidR="006A1D8C" w:rsidRPr="00557500" w:rsidRDefault="006A1D8C" w:rsidP="006A1D8C">
            <w:pPr>
              <w:pStyle w:val="affa"/>
            </w:pPr>
            <w:r w:rsidRPr="00557500">
              <w:rPr>
                <w:iCs/>
              </w:rPr>
              <w:t>Видалення</w:t>
            </w:r>
            <w:r w:rsidRPr="00557500">
              <w:t xml:space="preserve"> </w:t>
            </w:r>
            <w:r w:rsidRPr="00557500">
              <w:rPr>
                <w:iCs/>
              </w:rPr>
              <w:t>аварійно-небезпечних</w:t>
            </w:r>
            <w:r w:rsidRPr="00557500">
              <w:t xml:space="preserve"> дерев 428 523,00 грн.</w:t>
            </w:r>
          </w:p>
          <w:p w14:paraId="1BA4E77A" w14:textId="3767FFCA" w:rsidR="006A1D8C" w:rsidRPr="00557500" w:rsidRDefault="006A1D8C" w:rsidP="006A1D8C">
            <w:pPr>
              <w:pStyle w:val="affa"/>
              <w:rPr>
                <w:b/>
                <w:bCs/>
              </w:rPr>
            </w:pPr>
            <w:r w:rsidRPr="00557500">
              <w:rPr>
                <w:iCs/>
              </w:rPr>
              <w:t>Обрізка</w:t>
            </w:r>
            <w:r w:rsidRPr="00557500">
              <w:t xml:space="preserve"> </w:t>
            </w:r>
            <w:r w:rsidRPr="00557500">
              <w:rPr>
                <w:iCs/>
              </w:rPr>
              <w:t>аварійно-небезпечних</w:t>
            </w:r>
            <w:r w:rsidRPr="00557500">
              <w:t xml:space="preserve"> дерев 121 415,00 грн.</w:t>
            </w:r>
          </w:p>
          <w:p w14:paraId="18C297D0" w14:textId="138547AA" w:rsidR="006C07C6" w:rsidRPr="00557500" w:rsidRDefault="005D7588" w:rsidP="003A4917">
            <w:pPr>
              <w:pStyle w:val="affa"/>
              <w:rPr>
                <w:shd w:val="clear" w:color="auto" w:fill="FFFFFF"/>
              </w:rPr>
            </w:pPr>
            <w:r w:rsidRPr="00557500">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754D06"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754D06" w:rsidRDefault="002229C5" w:rsidP="003A4917">
            <w:pPr>
              <w:pStyle w:val="affa"/>
            </w:pPr>
            <w:r w:rsidRPr="00754D06">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754D06" w:rsidRDefault="002229C5" w:rsidP="003A4917">
            <w:pPr>
              <w:pStyle w:val="affa"/>
            </w:pPr>
            <w:r w:rsidRPr="00754D06">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3BC7FC56" w:rsidR="002229C5" w:rsidRPr="00754D06" w:rsidRDefault="0099137A" w:rsidP="00EF7C69">
            <w:pPr>
              <w:pStyle w:val="affa"/>
              <w:rPr>
                <w:i/>
                <w:iCs/>
              </w:rPr>
            </w:pPr>
            <w:r w:rsidRPr="00F86B9D">
              <w:rPr>
                <w:iCs/>
              </w:rPr>
              <w:t xml:space="preserve">ДК 021:2015: </w:t>
            </w:r>
            <w:r w:rsidRPr="00F86B9D">
              <w:t>77210000-5 — Лісозаготівельні послуги</w:t>
            </w:r>
            <w:r w:rsidRPr="00F86B9D">
              <w:rPr>
                <w:iCs/>
              </w:rPr>
              <w:t xml:space="preserve"> (Видалення та обрізка аварійно-небезпечних дерев </w:t>
            </w:r>
            <w:r w:rsidRPr="00F86B9D">
              <w:t>(оплата видатків із благоустрою населених пунктів)</w:t>
            </w:r>
          </w:p>
        </w:tc>
        <w:tc>
          <w:tcPr>
            <w:tcW w:w="140" w:type="dxa"/>
            <w:tcBorders>
              <w:left w:val="single" w:sz="6" w:space="0" w:color="000000"/>
            </w:tcBorders>
            <w:shd w:val="clear" w:color="auto" w:fill="auto"/>
          </w:tcPr>
          <w:p w14:paraId="6B91BA09" w14:textId="77777777" w:rsidR="002229C5" w:rsidRPr="00754D06"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w:t>
            </w:r>
            <w:r>
              <w:rPr>
                <w:lang w:eastAsia="uk-UA"/>
              </w:rPr>
              <w:lastRenderedPageBreak/>
              <w:t xml:space="preserve">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місце, кількість, обсяг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4A178170" w:rsidR="007116FE" w:rsidRPr="00952742" w:rsidRDefault="002229C5" w:rsidP="00B6591E">
            <w:pPr>
              <w:pStyle w:val="affa"/>
              <w:rPr>
                <w:lang w:eastAsia="uk-UA"/>
              </w:rPr>
            </w:pPr>
            <w:r w:rsidRPr="000559E8">
              <w:rPr>
                <w:b/>
                <w:lang w:eastAsia="uk-UA"/>
              </w:rPr>
              <w:t xml:space="preserve">Місце </w:t>
            </w:r>
            <w:r w:rsidR="00676FB3">
              <w:rPr>
                <w:b/>
              </w:rPr>
              <w:t xml:space="preserve">надання </w:t>
            </w:r>
            <w:r w:rsidR="00676FB3" w:rsidRPr="00952742">
              <w:rPr>
                <w:b/>
              </w:rPr>
              <w:t>послуг</w:t>
            </w:r>
            <w:r w:rsidRPr="00952742">
              <w:rPr>
                <w:b/>
                <w:lang w:eastAsia="uk-UA"/>
              </w:rPr>
              <w:t>:</w:t>
            </w:r>
            <w:r w:rsidR="00032E6B" w:rsidRPr="00952742">
              <w:rPr>
                <w:rStyle w:val="afff7"/>
                <w:rFonts w:ascii="Liberation Serif" w:hAnsi="Liberation Serif" w:cs="Liberation Serif;Times New Roma"/>
                <w:b w:val="0"/>
                <w:lang w:eastAsia="ru-RU"/>
              </w:rPr>
              <w:t xml:space="preserve"> </w:t>
            </w:r>
            <w:r w:rsidR="008128A3" w:rsidRPr="00952742">
              <w:rPr>
                <w:rStyle w:val="afff7"/>
                <w:rFonts w:ascii="Liberation Serif" w:hAnsi="Liberation Serif" w:cs="Liberation Serif;Times New Roma"/>
                <w:b w:val="0"/>
                <w:lang w:eastAsia="ru-RU"/>
              </w:rPr>
              <w:t xml:space="preserve">Територія Шевченківського району </w:t>
            </w:r>
            <w:r w:rsidR="00676FB3" w:rsidRPr="00952742">
              <w:t>м. Запоріжжя</w:t>
            </w:r>
          </w:p>
          <w:p w14:paraId="62874524" w14:textId="7A5F097F" w:rsidR="00A3423F" w:rsidRPr="00557500" w:rsidRDefault="00213ACC" w:rsidP="00A3423F">
            <w:pPr>
              <w:pStyle w:val="affa"/>
              <w:rPr>
                <w:b/>
                <w:sz w:val="23"/>
                <w:szCs w:val="23"/>
                <w:u w:val="single"/>
              </w:rPr>
            </w:pPr>
            <w:r w:rsidRPr="00952742">
              <w:rPr>
                <w:b/>
              </w:rPr>
              <w:t xml:space="preserve">Обсяг </w:t>
            </w:r>
            <w:r w:rsidR="000559E8" w:rsidRPr="00952742">
              <w:rPr>
                <w:b/>
              </w:rPr>
              <w:t xml:space="preserve">виконання </w:t>
            </w:r>
            <w:r w:rsidR="000559E8" w:rsidRPr="00557500">
              <w:rPr>
                <w:b/>
              </w:rPr>
              <w:t>робіт</w:t>
            </w:r>
            <w:r w:rsidR="002229C5" w:rsidRPr="00557500">
              <w:rPr>
                <w:b/>
                <w:lang w:eastAsia="uk-UA" w:bidi="en-US"/>
              </w:rPr>
              <w:t>:</w:t>
            </w:r>
            <w:r w:rsidR="00F83A28" w:rsidRPr="00557500">
              <w:rPr>
                <w:lang w:eastAsia="uk-UA" w:bidi="en-US"/>
              </w:rPr>
              <w:t xml:space="preserve"> </w:t>
            </w:r>
            <w:r w:rsidR="00557500" w:rsidRPr="00557500">
              <w:rPr>
                <w:lang w:eastAsia="uk-UA" w:bidi="en-US"/>
              </w:rPr>
              <w:t>1 послуга</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5A2C2E"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a"/>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зак</w:t>
            </w:r>
            <w:r w:rsidR="00953F30" w:rsidRPr="00283B2C">
              <w:rPr>
                <w:sz w:val="23"/>
                <w:szCs w:val="23"/>
                <w:lang w:val="uk-UA"/>
              </w:rPr>
              <w:t>р</w:t>
            </w:r>
            <w:r w:rsidRPr="00283B2C">
              <w:rPr>
                <w:sz w:val="23"/>
                <w:szCs w:val="23"/>
                <w:lang w:val="uk-UA"/>
              </w:rPr>
              <w:t>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5AA6DC1" w14:textId="77777777" w:rsidR="00757790" w:rsidRPr="00557500" w:rsidRDefault="00757790" w:rsidP="00757790">
            <w:pPr>
              <w:jc w:val="both"/>
            </w:pPr>
            <w:r w:rsidRPr="00B0350D">
              <w:rPr>
                <w:rStyle w:val="af8"/>
                <w:i w:val="0"/>
                <w:iCs w:val="0"/>
                <w:lang w:bidi="hi-IN"/>
              </w:rPr>
              <w:t>ДК 021:2015:</w:t>
            </w:r>
            <w:r w:rsidRPr="00B0350D">
              <w:rPr>
                <w:rStyle w:val="af8"/>
                <w:lang w:bidi="hi-IN"/>
              </w:rPr>
              <w:t xml:space="preserve"> </w:t>
            </w:r>
            <w:r w:rsidRPr="00557500">
              <w:t>77211300-5 — Послуги з видалення дерев</w:t>
            </w:r>
          </w:p>
          <w:p w14:paraId="13320BEC" w14:textId="10708690" w:rsidR="00D904B4" w:rsidRPr="00557500" w:rsidRDefault="0099137A" w:rsidP="00D904B4">
            <w:pPr>
              <w:pStyle w:val="110"/>
              <w:rPr>
                <w:rFonts w:ascii="Times New Roman" w:hAnsi="Times New Roman" w:cs="Times New Roman"/>
                <w:color w:val="auto"/>
                <w:sz w:val="24"/>
                <w:szCs w:val="24"/>
                <w:lang w:val="uk-UA"/>
              </w:rPr>
            </w:pPr>
            <w:r w:rsidRPr="00557500">
              <w:rPr>
                <w:rFonts w:ascii="Times New Roman" w:hAnsi="Times New Roman" w:cs="Times New Roman"/>
                <w:iCs/>
                <w:color w:val="auto"/>
                <w:sz w:val="24"/>
                <w:szCs w:val="24"/>
              </w:rPr>
              <w:t>Видалення</w:t>
            </w:r>
            <w:r w:rsidR="00D904B4" w:rsidRPr="00557500">
              <w:rPr>
                <w:rFonts w:ascii="Times New Roman" w:hAnsi="Times New Roman" w:cs="Times New Roman"/>
                <w:color w:val="auto"/>
                <w:sz w:val="24"/>
                <w:szCs w:val="24"/>
              </w:rPr>
              <w:t xml:space="preserve"> </w:t>
            </w:r>
            <w:r w:rsidR="00C1174C" w:rsidRPr="00557500">
              <w:rPr>
                <w:rFonts w:ascii="Times New Roman" w:hAnsi="Times New Roman" w:cs="Times New Roman"/>
                <w:iCs/>
                <w:color w:val="auto"/>
                <w:sz w:val="24"/>
                <w:szCs w:val="24"/>
              </w:rPr>
              <w:t>аварійно-небезпечних</w:t>
            </w:r>
            <w:r w:rsidR="00C1174C" w:rsidRPr="00557500">
              <w:rPr>
                <w:rFonts w:ascii="Times New Roman" w:hAnsi="Times New Roman" w:cs="Times New Roman"/>
                <w:color w:val="auto"/>
                <w:sz w:val="24"/>
                <w:szCs w:val="24"/>
              </w:rPr>
              <w:t xml:space="preserve"> </w:t>
            </w:r>
            <w:r w:rsidR="00D904B4" w:rsidRPr="00557500">
              <w:rPr>
                <w:rFonts w:ascii="Times New Roman" w:hAnsi="Times New Roman" w:cs="Times New Roman"/>
                <w:color w:val="auto"/>
                <w:sz w:val="24"/>
                <w:szCs w:val="24"/>
              </w:rPr>
              <w:t>дерев</w:t>
            </w:r>
            <w:r w:rsidRPr="00557500">
              <w:rPr>
                <w:rFonts w:ascii="Times New Roman" w:hAnsi="Times New Roman" w:cs="Times New Roman"/>
                <w:color w:val="auto"/>
                <w:sz w:val="24"/>
                <w:szCs w:val="24"/>
              </w:rPr>
              <w:t xml:space="preserve"> </w:t>
            </w:r>
            <w:r w:rsidR="00557500" w:rsidRPr="00557500">
              <w:rPr>
                <w:rFonts w:ascii="Times New Roman" w:hAnsi="Times New Roman" w:cs="Times New Roman"/>
                <w:color w:val="auto"/>
                <w:sz w:val="24"/>
                <w:szCs w:val="24"/>
                <w:lang w:val="uk-UA"/>
              </w:rPr>
              <w:t>48 од</w:t>
            </w:r>
          </w:p>
          <w:p w14:paraId="744CEC01" w14:textId="4606CF9C" w:rsidR="00757790" w:rsidRPr="00557500" w:rsidRDefault="00757790" w:rsidP="00D904B4">
            <w:pPr>
              <w:pStyle w:val="110"/>
              <w:rPr>
                <w:rFonts w:ascii="Times New Roman" w:hAnsi="Times New Roman" w:cs="Times New Roman"/>
                <w:color w:val="auto"/>
                <w:sz w:val="24"/>
                <w:szCs w:val="24"/>
              </w:rPr>
            </w:pPr>
          </w:p>
          <w:p w14:paraId="0E576738" w14:textId="4CC6D9DA" w:rsidR="00757790" w:rsidRPr="00557500" w:rsidRDefault="00757790" w:rsidP="00757790">
            <w:pPr>
              <w:jc w:val="both"/>
              <w:rPr>
                <w:bCs/>
                <w:lang w:val="uk-UA"/>
              </w:rPr>
            </w:pPr>
            <w:r w:rsidRPr="00557500">
              <w:rPr>
                <w:rStyle w:val="af8"/>
                <w:i w:val="0"/>
                <w:iCs w:val="0"/>
                <w:lang w:bidi="hi-IN"/>
              </w:rPr>
              <w:t>ДК 021:2015:</w:t>
            </w:r>
            <w:r w:rsidRPr="00557500">
              <w:rPr>
                <w:rStyle w:val="af8"/>
                <w:lang w:bidi="hi-IN"/>
              </w:rPr>
              <w:t xml:space="preserve"> </w:t>
            </w:r>
            <w:r w:rsidRPr="00557500">
              <w:t>77211500-7 — Послуги з догляду за деревами</w:t>
            </w:r>
          </w:p>
          <w:p w14:paraId="6810BD05" w14:textId="194814B2" w:rsidR="00A14EE4" w:rsidRPr="00557500" w:rsidRDefault="00D904B4" w:rsidP="00D904B4">
            <w:pPr>
              <w:pStyle w:val="110"/>
              <w:rPr>
                <w:rFonts w:ascii="Times New Roman" w:hAnsi="Times New Roman" w:cs="Times New Roman"/>
                <w:color w:val="auto"/>
                <w:sz w:val="24"/>
                <w:szCs w:val="24"/>
                <w:lang w:val="uk-UA" w:eastAsia="uk-UA"/>
              </w:rPr>
            </w:pPr>
            <w:r w:rsidRPr="00557500">
              <w:rPr>
                <w:rFonts w:ascii="Times New Roman" w:hAnsi="Times New Roman" w:cs="Times New Roman"/>
                <w:color w:val="auto"/>
                <w:sz w:val="24"/>
                <w:szCs w:val="24"/>
              </w:rPr>
              <w:t>Обріз</w:t>
            </w:r>
            <w:r w:rsidR="0099137A" w:rsidRPr="00557500">
              <w:rPr>
                <w:rFonts w:ascii="Times New Roman" w:hAnsi="Times New Roman" w:cs="Times New Roman"/>
                <w:color w:val="auto"/>
                <w:sz w:val="24"/>
                <w:szCs w:val="24"/>
              </w:rPr>
              <w:t>ка</w:t>
            </w:r>
            <w:r w:rsidRPr="00557500">
              <w:rPr>
                <w:rFonts w:ascii="Times New Roman" w:hAnsi="Times New Roman" w:cs="Times New Roman"/>
                <w:color w:val="auto"/>
                <w:sz w:val="24"/>
                <w:szCs w:val="24"/>
              </w:rPr>
              <w:t xml:space="preserve"> </w:t>
            </w:r>
            <w:r w:rsidR="00C1174C" w:rsidRPr="00557500">
              <w:rPr>
                <w:rFonts w:ascii="Times New Roman" w:hAnsi="Times New Roman" w:cs="Times New Roman"/>
                <w:iCs/>
                <w:color w:val="auto"/>
                <w:sz w:val="24"/>
                <w:szCs w:val="24"/>
              </w:rPr>
              <w:t>аварійно-небезпечних</w:t>
            </w:r>
            <w:r w:rsidR="00C1174C" w:rsidRPr="00557500">
              <w:rPr>
                <w:rFonts w:ascii="Times New Roman" w:hAnsi="Times New Roman" w:cs="Times New Roman"/>
                <w:color w:val="auto"/>
                <w:sz w:val="24"/>
                <w:szCs w:val="24"/>
              </w:rPr>
              <w:t xml:space="preserve"> </w:t>
            </w:r>
            <w:r w:rsidRPr="00557500">
              <w:rPr>
                <w:rFonts w:ascii="Times New Roman" w:hAnsi="Times New Roman" w:cs="Times New Roman"/>
                <w:color w:val="auto"/>
                <w:sz w:val="24"/>
                <w:szCs w:val="24"/>
              </w:rPr>
              <w:t>дерев</w:t>
            </w:r>
            <w:r w:rsidR="00557500" w:rsidRPr="00557500">
              <w:rPr>
                <w:rFonts w:ascii="Times New Roman" w:hAnsi="Times New Roman" w:cs="Times New Roman"/>
                <w:color w:val="auto"/>
                <w:sz w:val="24"/>
                <w:szCs w:val="24"/>
                <w:lang w:val="uk-UA"/>
              </w:rPr>
              <w:t xml:space="preserve"> 16 од</w:t>
            </w:r>
          </w:p>
          <w:p w14:paraId="6530493F" w14:textId="77777777" w:rsidR="00A14EE4" w:rsidRPr="00757790" w:rsidRDefault="00A14EE4" w:rsidP="00A14EE4">
            <w:pPr>
              <w:jc w:val="both"/>
              <w:rPr>
                <w:bCs/>
                <w:color w:val="FF0000"/>
                <w:lang w:val="uk-UA"/>
              </w:rPr>
            </w:pPr>
          </w:p>
          <w:p w14:paraId="2AEA33B2" w14:textId="348B88ED" w:rsidR="00953F30" w:rsidRPr="00676FB3" w:rsidRDefault="00953F30" w:rsidP="00A3423F">
            <w:pPr>
              <w:pStyle w:val="1b"/>
              <w:rPr>
                <w:rStyle w:val="af8"/>
                <w:i w:val="0"/>
                <w:iCs w:val="0"/>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Джерело фінансування: місцевий бюджет; тип оплати: післяоплата;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D4EC28F"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518AD63E"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57500" w:rsidRDefault="006E4940" w:rsidP="006E4940">
            <w:pPr>
              <w:shd w:val="clear" w:color="auto" w:fill="FFFFFF" w:themeFill="background1"/>
              <w:ind w:left="-21" w:right="113"/>
              <w:jc w:val="both"/>
              <w:rPr>
                <w:lang w:val="uk-UA"/>
              </w:rPr>
            </w:pPr>
            <w:r w:rsidRPr="00557500">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a"/>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352D6908" w:rsidR="00175D82" w:rsidRPr="00557500" w:rsidRDefault="00557500" w:rsidP="00D733F2">
            <w:pPr>
              <w:jc w:val="both"/>
              <w:rPr>
                <w:b/>
                <w:u w:val="single"/>
                <w:shd w:val="clear" w:color="auto" w:fill="F2F9FF"/>
                <w:lang w:val="uk-UA"/>
              </w:rPr>
            </w:pPr>
            <w:r w:rsidRPr="00557500">
              <w:rPr>
                <w:b/>
                <w:u w:val="single"/>
                <w:shd w:val="clear" w:color="auto" w:fill="F2F9FF"/>
                <w:lang w:val="uk-UA"/>
              </w:rPr>
              <w:t>5 500</w:t>
            </w:r>
            <w:r w:rsidR="00196F5C" w:rsidRPr="00557500">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507B06"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r w:rsidRPr="00507B06">
              <w:rPr>
                <w:b/>
                <w:bCs/>
              </w:rPr>
              <w:t>Умови надання забезпечення тендерних пропозицій: відповідно до Тендерної документації</w:t>
            </w:r>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7E3CCD">
              <w:rPr>
                <w:shd w:val="clear" w:color="auto" w:fill="FFFFFF"/>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805CBD"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a"/>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lastRenderedPageBreak/>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lastRenderedPageBreak/>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бути не більше тридцятиденної давнини відносно дати подання документа замовнику</w:t>
            </w:r>
            <w:r>
              <w:t>;</w:t>
            </w:r>
          </w:p>
          <w:p w14:paraId="5A2377F3" w14:textId="7B934813" w:rsidR="00066652" w:rsidRDefault="00066652" w:rsidP="00211275">
            <w:pPr>
              <w:pStyle w:val="affa"/>
              <w:ind w:firstLine="408"/>
            </w:pPr>
            <w:r>
              <w:t xml:space="preserve">- </w:t>
            </w:r>
            <w:bookmarkStart w:id="3" w:name="_Hlk68509305"/>
            <w:r w:rsidR="00793F43" w:rsidRPr="00753D5B">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5C40EDC6" w14:textId="3B668780" w:rsidR="00A62A33" w:rsidRDefault="00A62A33" w:rsidP="00211275">
            <w:pPr>
              <w:pStyle w:val="affa"/>
              <w:ind w:firstLine="408"/>
            </w:pPr>
            <w:r>
              <w:rPr>
                <w:shd w:val="clear" w:color="auto" w:fill="FFFFFF"/>
              </w:rPr>
              <w:t xml:space="preserve">- </w:t>
            </w:r>
            <w:r w:rsidRPr="00753D5B">
              <w:rPr>
                <w:shd w:val="clear" w:color="auto" w:fill="FFFFFF"/>
              </w:rPr>
              <w:t xml:space="preserve">Довідка, складена в довільній формі, за підписом уповноваженої особи учасника та бажано завірена печаткою </w:t>
            </w:r>
            <w:r w:rsidRPr="00753D5B">
              <w:rPr>
                <w:i/>
                <w:shd w:val="clear" w:color="auto" w:fill="FFFFFF"/>
              </w:rPr>
              <w:t>(у разі її використання)</w:t>
            </w:r>
            <w:r w:rsidRPr="00753D5B">
              <w:rPr>
                <w:shd w:val="clear" w:color="auto" w:fill="FFFFFF"/>
              </w:rPr>
              <w:t>, щодо застосування заходів із захисту довкілля.</w:t>
            </w:r>
          </w:p>
          <w:p w14:paraId="2FCABD9F" w14:textId="77777777" w:rsidR="00BA5BEF" w:rsidRPr="00753D5B" w:rsidRDefault="00BA5BEF" w:rsidP="00BA5BEF">
            <w:pPr>
              <w:widowControl w:val="0"/>
              <w:tabs>
                <w:tab w:val="left" w:pos="177"/>
              </w:tabs>
              <w:ind w:right="113"/>
              <w:contextualSpacing/>
              <w:jc w:val="both"/>
            </w:pPr>
            <w:r>
              <w:t xml:space="preserve">- </w:t>
            </w:r>
            <w:r w:rsidRPr="00753D5B">
              <w:t xml:space="preserve">Довідка, складена у довільній формі, яка містить відомості про підприємство: </w:t>
            </w:r>
          </w:p>
          <w:p w14:paraId="0FD93E54" w14:textId="77777777" w:rsidR="00BA5BEF" w:rsidRPr="00753D5B" w:rsidRDefault="00BA5BEF" w:rsidP="00BA5BEF">
            <w:pPr>
              <w:widowControl w:val="0"/>
              <w:tabs>
                <w:tab w:val="left" w:pos="177"/>
              </w:tabs>
              <w:ind w:right="113"/>
              <w:contextualSpacing/>
              <w:jc w:val="both"/>
            </w:pPr>
            <w:r w:rsidRPr="00753D5B">
              <w:t xml:space="preserve">а) реквізити (адреса - юридична та фактична, телефон, факс, телефон для контактів); </w:t>
            </w:r>
          </w:p>
          <w:p w14:paraId="1C38CD85" w14:textId="77777777" w:rsidR="00BA5BEF" w:rsidRPr="00753D5B" w:rsidRDefault="00BA5BEF" w:rsidP="00BA5BEF">
            <w:pPr>
              <w:widowControl w:val="0"/>
              <w:tabs>
                <w:tab w:val="left" w:pos="177"/>
              </w:tabs>
              <w:ind w:right="113"/>
              <w:contextualSpacing/>
              <w:jc w:val="both"/>
            </w:pPr>
            <w:r w:rsidRPr="00753D5B">
              <w:t xml:space="preserve">б) керівництво (посада, ім'я, по батькові, телефон для контактів) - для юридичних осіб; </w:t>
            </w:r>
          </w:p>
          <w:p w14:paraId="4EF9BEB2" w14:textId="4A313936" w:rsidR="00BA5BEF" w:rsidRPr="00507B06" w:rsidRDefault="00BA5BEF" w:rsidP="00BA5BEF">
            <w:pPr>
              <w:pStyle w:val="affa"/>
            </w:pPr>
            <w:r w:rsidRPr="00753D5B">
              <w:t>в) форма власності та юридичний статус, організаційно-правова форма (для юридичних осіб).</w:t>
            </w:r>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Мінекономрозвитку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використання слова або мовного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507B06">
              <w:rPr>
                <w:lang w:eastAsia="ru-RU"/>
              </w:rPr>
              <w:lastRenderedPageBreak/>
              <w:t>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lastRenderedPageBreak/>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разі якщо учасник або переможець </w:t>
            </w:r>
            <w:r w:rsidRPr="00753D5B">
              <w:rPr>
                <w:b/>
                <w:bCs/>
                <w:iCs/>
              </w:rPr>
              <w:t>не повинен складати</w:t>
            </w:r>
            <w:r w:rsidRPr="00753D5B">
              <w:rPr>
                <w:iCs/>
              </w:rPr>
              <w:t xml:space="preserve">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w:t>
            </w:r>
            <w:r w:rsidRPr="00753D5B">
              <w:rPr>
                <w:b/>
                <w:bCs/>
                <w:iCs/>
              </w:rPr>
              <w:t>не зобов’язаний складати</w:t>
            </w:r>
            <w:r w:rsidRPr="00753D5B">
              <w:rPr>
                <w:iCs/>
              </w:rPr>
              <w:t xml:space="preserve"> </w:t>
            </w:r>
            <w:r w:rsidRPr="00753D5B">
              <w:rPr>
                <w:b/>
                <w:bCs/>
                <w:iCs/>
              </w:rPr>
              <w:t>якийсь зі вказаних в положеннях документації документ, то він</w:t>
            </w:r>
            <w:r w:rsidRPr="00753D5B">
              <w:rPr>
                <w:iCs/>
              </w:rPr>
              <w:t xml:space="preserve"> </w:t>
            </w:r>
            <w:r w:rsidRPr="00753D5B">
              <w:rPr>
                <w:b/>
                <w:bCs/>
                <w:iCs/>
              </w:rPr>
              <w:t>надає лист-роз’яснення</w:t>
            </w:r>
            <w:r w:rsidRPr="00753D5B">
              <w:rPr>
                <w:iCs/>
              </w:rPr>
              <w:t xml:space="preserve"> в довільній формі, за підписом уповноваженої особи учасника/переможця/учасника-нерезидента/переможця-нерезидента й бажано завірений печаткою (у разі її використання), в якому зазначає законодавчі підстави ненадання відповідних документів.</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скан-копій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засвідчувального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пропозицію буде відхилено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lastRenderedPageBreak/>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C62114">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не більше тридцятиденної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4F69C769" w:rsidR="00196F5C" w:rsidRPr="00557500" w:rsidRDefault="00196F5C" w:rsidP="00196F5C">
            <w:pPr>
              <w:pStyle w:val="affa"/>
            </w:pPr>
            <w:r w:rsidRPr="00E725CF">
              <w:t xml:space="preserve">Учасник надає Замовнику </w:t>
            </w:r>
            <w:r w:rsidRPr="00557500">
              <w:t>забезпечення тендерної пропозиції у формі банківської гарантії</w:t>
            </w:r>
            <w:r w:rsidRPr="00557500">
              <w:rPr>
                <w:shd w:val="clear" w:color="auto" w:fill="FFFFFF"/>
              </w:rPr>
              <w:t xml:space="preserve">. Сума гарантії </w:t>
            </w:r>
            <w:r w:rsidR="00557500" w:rsidRPr="00557500">
              <w:rPr>
                <w:b/>
                <w:u w:val="single"/>
                <w:shd w:val="clear" w:color="auto" w:fill="F2F9FF"/>
              </w:rPr>
              <w:t>5 500</w:t>
            </w:r>
            <w:r w:rsidR="00982003" w:rsidRPr="00557500">
              <w:rPr>
                <w:b/>
                <w:u w:val="single"/>
                <w:shd w:val="clear" w:color="auto" w:fill="F2F9FF"/>
              </w:rPr>
              <w:t xml:space="preserve">,00 </w:t>
            </w:r>
            <w:r w:rsidRPr="00557500">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557500">
              <w:rPr>
                <w:lang w:val="uk-UA" w:eastAsia="ar-SA"/>
              </w:rPr>
              <w:t xml:space="preserve">Банківська гарантія має бути оформлена </w:t>
            </w:r>
            <w:r w:rsidR="00982003" w:rsidRPr="00E725CF">
              <w:rPr>
                <w:lang w:val="uk-UA" w:eastAsia="ru-RU"/>
              </w:rPr>
              <w:t xml:space="preserve">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пропозиції/пропозиції».з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a"/>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a"/>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a"/>
              <w:rPr>
                <w:sz w:val="12"/>
                <w:szCs w:val="12"/>
              </w:rPr>
            </w:pPr>
          </w:p>
          <w:p w14:paraId="5D57A17B" w14:textId="77777777" w:rsidR="00196F5C" w:rsidRPr="00E725CF" w:rsidRDefault="00196F5C" w:rsidP="00196F5C">
            <w:pPr>
              <w:pStyle w:val="affa"/>
            </w:pPr>
            <w:r w:rsidRPr="00E725CF">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a"/>
              <w:rPr>
                <w:i/>
                <w:sz w:val="12"/>
                <w:szCs w:val="12"/>
              </w:rPr>
            </w:pPr>
          </w:p>
          <w:p w14:paraId="3770797A" w14:textId="77777777" w:rsidR="00196F5C" w:rsidRPr="00E725CF" w:rsidRDefault="00196F5C" w:rsidP="00196F5C">
            <w:pPr>
              <w:jc w:val="both"/>
            </w:pPr>
            <w:r w:rsidRPr="00E725CF">
              <w:t>Банківська гарантія має бути надана банківською установою, що не визнана у встановленому законом порядку банкрутом та стосовно неї не відкрито ліквідаційну процедуру.</w:t>
            </w:r>
          </w:p>
          <w:p w14:paraId="70F11DD3" w14:textId="77777777" w:rsidR="00196F5C" w:rsidRPr="00E725CF" w:rsidRDefault="00196F5C" w:rsidP="00196F5C">
            <w:pPr>
              <w:widowControl w:val="0"/>
              <w:tabs>
                <w:tab w:val="left" w:pos="722"/>
              </w:tabs>
              <w:ind w:firstLine="340"/>
              <w:contextualSpacing/>
              <w:jc w:val="both"/>
            </w:pPr>
            <w:r w:rsidRPr="00E725CF">
              <w:lastRenderedPageBreak/>
              <w:t xml:space="preserve">Реквізити Замовника для оформлення банківської гарантії: </w:t>
            </w:r>
          </w:p>
          <w:p w14:paraId="6D12260E" w14:textId="77777777" w:rsidR="00196F5C" w:rsidRPr="00E725CF" w:rsidRDefault="00196F5C" w:rsidP="00196F5C">
            <w:pPr>
              <w:pStyle w:val="aff8"/>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3.1. Забезпечення тендерної пропозиції не повертається у разі:</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t>непідписання договору про закупівлю учасником, який став переможцем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в разі неукладення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a"/>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805CBD"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805CBD"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C601BA" w:rsidRDefault="00720B2C" w:rsidP="00720B2C">
            <w:pPr>
              <w:pStyle w:val="affa"/>
            </w:pPr>
            <w:r w:rsidRPr="00C601B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C601BA" w:rsidRDefault="00720B2C" w:rsidP="00720B2C">
            <w:pPr>
              <w:pStyle w:val="affa"/>
              <w:rPr>
                <w:shd w:val="clear" w:color="auto" w:fill="FFFFFF"/>
              </w:rPr>
            </w:pPr>
            <w:r w:rsidRPr="00C601BA">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Для учасників, утворених у формі господарського об’єднання, документальне підтвердження кваліфікаційного(их) критерію(їв) може бути надане як господарським об’єднанням, так і сумарно підприємством(ами)-учасником(ами) цього господарського об’єднання. </w:t>
            </w:r>
          </w:p>
          <w:p w14:paraId="748A9508"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C601BA" w:rsidRDefault="007E00EE" w:rsidP="007E00EE">
            <w:pPr>
              <w:pStyle w:val="1b"/>
              <w:ind w:firstLine="408"/>
              <w:jc w:val="both"/>
              <w:rPr>
                <w:rFonts w:ascii="Times New Roman" w:hAnsi="Times New Roman" w:cs="Times New Roman"/>
                <w:color w:val="auto"/>
                <w:sz w:val="24"/>
                <w:szCs w:val="24"/>
                <w:lang w:val="uk-UA" w:eastAsia="ru-RU"/>
              </w:rPr>
            </w:pPr>
            <w:r w:rsidRPr="00C601BA">
              <w:rPr>
                <w:rFonts w:ascii="Times New Roman" w:hAnsi="Times New Roman" w:cs="Times New Roman"/>
                <w:color w:val="auto"/>
                <w:sz w:val="24"/>
                <w:szCs w:val="24"/>
                <w:lang w:val="uk-UA" w:eastAsia="ru-RU"/>
              </w:rPr>
              <w:t>У разі, якщо підтвердження кваліфікаційних критеріїв господарського об’єднання подається сумарно підприємством(ами)-учасником(ами)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(-их) господарське об’єднання бере участь та надає вищевказані документи підприємств-учасників господарського об’єднання</w:t>
            </w:r>
            <w:r w:rsidRPr="00C601B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C601BA">
              <w:rPr>
                <w:rFonts w:ascii="Times New Roman" w:hAnsi="Times New Roman" w:cs="Times New Roman"/>
                <w:color w:val="auto"/>
                <w:sz w:val="24"/>
                <w:szCs w:val="24"/>
                <w:lang w:val="uk-UA" w:eastAsia="ru-RU"/>
              </w:rPr>
              <w:t xml:space="preserve">. </w:t>
            </w:r>
          </w:p>
          <w:p w14:paraId="06E3649D" w14:textId="77777777" w:rsidR="007E00EE" w:rsidRPr="00C601BA" w:rsidRDefault="007E00EE" w:rsidP="007E00EE">
            <w:pPr>
              <w:pStyle w:val="1b"/>
              <w:ind w:firstLine="408"/>
              <w:jc w:val="both"/>
              <w:rPr>
                <w:rFonts w:ascii="Times New Roman" w:hAnsi="Times New Roman" w:cs="Times New Roman"/>
                <w:iCs/>
                <w:color w:val="auto"/>
                <w:sz w:val="24"/>
                <w:szCs w:val="24"/>
                <w:lang w:val="uk-UA"/>
              </w:rPr>
            </w:pPr>
            <w:r w:rsidRPr="00C601BA">
              <w:rPr>
                <w:rFonts w:ascii="Times New Roman" w:hAnsi="Times New Roman" w:cs="Times New Roman"/>
                <w:color w:val="auto"/>
                <w:sz w:val="24"/>
                <w:szCs w:val="24"/>
                <w:lang w:val="uk-UA"/>
              </w:rPr>
              <w:t>У разі наявності у складі господарського об’єднання учасника(ів)-підприємства(-) нерезидента(ів), останнє надає документи з урахуванням особливостей законодавства країни, в якій воно зареєстроване (аналог(и) документа(ів)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C601BA" w:rsidRDefault="007E00EE" w:rsidP="00720B2C">
            <w:pPr>
              <w:pStyle w:val="affa"/>
              <w:rPr>
                <w:shd w:val="clear" w:color="auto" w:fill="FFFFFF"/>
              </w:rPr>
            </w:pPr>
          </w:p>
          <w:p w14:paraId="57140515" w14:textId="735BB954" w:rsidR="00602F42" w:rsidRPr="00C601BA" w:rsidRDefault="00602F42" w:rsidP="00AB4176">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Про публічні закупівлі</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w:t>
            </w:r>
          </w:p>
          <w:p w14:paraId="3613C8FA" w14:textId="77777777" w:rsidR="00602F42" w:rsidRPr="00C601BA" w:rsidRDefault="00602F42" w:rsidP="00602F42">
            <w:pPr>
              <w:pStyle w:val="afff1"/>
              <w:spacing w:before="0" w:after="0" w:line="23" w:lineRule="atLeast"/>
              <w:rPr>
                <w:b/>
              </w:rPr>
            </w:pPr>
          </w:p>
          <w:p w14:paraId="3011EA33" w14:textId="340A8A95" w:rsidR="00602F42" w:rsidRPr="00C601BA" w:rsidRDefault="00AB4176" w:rsidP="00602F42">
            <w:pPr>
              <w:pStyle w:val="afff1"/>
              <w:spacing w:before="0" w:after="0" w:line="23" w:lineRule="atLeast"/>
              <w:rPr>
                <w:b/>
              </w:rPr>
            </w:pPr>
            <w:r w:rsidRPr="00C601BA">
              <w:rPr>
                <w:b/>
              </w:rPr>
              <w:lastRenderedPageBreak/>
              <w:t xml:space="preserve">1. </w:t>
            </w:r>
            <w:r w:rsidR="00602F42" w:rsidRPr="00C601BA">
              <w:rPr>
                <w:b/>
              </w:rPr>
              <w:t>Наявність обладнання та матеріально-технічної бази.</w:t>
            </w:r>
          </w:p>
          <w:p w14:paraId="3A527607" w14:textId="77777777" w:rsidR="00602F42" w:rsidRPr="00C601BA" w:rsidRDefault="00602F42" w:rsidP="00602F42">
            <w:pPr>
              <w:pStyle w:val="afff1"/>
              <w:spacing w:before="0" w:after="0" w:line="23" w:lineRule="atLeast"/>
            </w:pPr>
            <w:r w:rsidRPr="00C601BA">
              <w:rPr>
                <w:b/>
                <w:caps/>
                <w:u w:val="single"/>
              </w:rPr>
              <w:t>Спосіб підтвердження</w:t>
            </w:r>
            <w:r w:rsidRPr="00C601BA">
              <w:rPr>
                <w:b/>
              </w:rPr>
              <w:t>:</w:t>
            </w:r>
          </w:p>
          <w:p w14:paraId="3C6FF71D" w14:textId="77777777" w:rsidR="00557500" w:rsidRPr="00595BFC" w:rsidRDefault="00557500" w:rsidP="00557500">
            <w:pPr>
              <w:ind w:firstLine="709"/>
              <w:jc w:val="both"/>
            </w:pPr>
            <w:r w:rsidRPr="00595BFC">
              <w:t>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за договором надання послуг, необхідних для надання послуг, за формою:</w:t>
            </w:r>
          </w:p>
          <w:p w14:paraId="2E67F6BE" w14:textId="77777777" w:rsidR="00557500" w:rsidRPr="00595BFC" w:rsidRDefault="00557500" w:rsidP="00557500">
            <w:pPr>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6"/>
              <w:gridCol w:w="3685"/>
              <w:gridCol w:w="2126"/>
              <w:gridCol w:w="6"/>
            </w:tblGrid>
            <w:tr w:rsidR="00557500" w:rsidRPr="00595BFC" w14:paraId="71619589" w14:textId="77777777" w:rsidTr="00BE0EB5">
              <w:trPr>
                <w:gridAfter w:val="1"/>
                <w:wAfter w:w="6" w:type="dxa"/>
              </w:trPr>
              <w:tc>
                <w:tcPr>
                  <w:tcW w:w="534" w:type="dxa"/>
                  <w:shd w:val="clear" w:color="auto" w:fill="auto"/>
                </w:tcPr>
                <w:p w14:paraId="65719D61" w14:textId="77777777" w:rsidR="00557500" w:rsidRPr="00595BFC" w:rsidRDefault="00557500" w:rsidP="00557500">
                  <w:pPr>
                    <w:autoSpaceDE w:val="0"/>
                    <w:autoSpaceDN w:val="0"/>
                    <w:adjustRightInd w:val="0"/>
                    <w:jc w:val="center"/>
                  </w:pPr>
                  <w:r w:rsidRPr="00595BFC">
                    <w:t>№з/п</w:t>
                  </w:r>
                </w:p>
              </w:tc>
              <w:tc>
                <w:tcPr>
                  <w:tcW w:w="2268" w:type="dxa"/>
                  <w:shd w:val="clear" w:color="auto" w:fill="auto"/>
                </w:tcPr>
                <w:p w14:paraId="52AF8195" w14:textId="77777777" w:rsidR="00557500" w:rsidRPr="00595BFC" w:rsidRDefault="00557500" w:rsidP="00557500">
                  <w:pPr>
                    <w:autoSpaceDE w:val="0"/>
                    <w:autoSpaceDN w:val="0"/>
                    <w:adjustRightInd w:val="0"/>
                    <w:jc w:val="center"/>
                  </w:pPr>
                  <w:r w:rsidRPr="00595BFC">
                    <w:t>Найменування ма</w:t>
                  </w:r>
                  <w:r>
                    <w:t>шини, механізму або обладнання</w:t>
                  </w:r>
                </w:p>
              </w:tc>
              <w:tc>
                <w:tcPr>
                  <w:tcW w:w="1276" w:type="dxa"/>
                </w:tcPr>
                <w:p w14:paraId="320B07D2" w14:textId="77777777" w:rsidR="00557500" w:rsidRDefault="00557500" w:rsidP="00557500">
                  <w:pPr>
                    <w:autoSpaceDE w:val="0"/>
                    <w:autoSpaceDN w:val="0"/>
                    <w:adjustRightInd w:val="0"/>
                    <w:jc w:val="center"/>
                  </w:pPr>
                  <w:r w:rsidRPr="00595BFC">
                    <w:t>Тип моделей</w:t>
                  </w:r>
                </w:p>
                <w:p w14:paraId="6C37E332" w14:textId="77777777" w:rsidR="00557500" w:rsidRPr="00595BFC" w:rsidRDefault="00557500" w:rsidP="00557500">
                  <w:pPr>
                    <w:autoSpaceDE w:val="0"/>
                    <w:autoSpaceDN w:val="0"/>
                    <w:adjustRightInd w:val="0"/>
                    <w:jc w:val="center"/>
                  </w:pPr>
                  <w:r>
                    <w:t>або марка</w:t>
                  </w:r>
                </w:p>
              </w:tc>
              <w:tc>
                <w:tcPr>
                  <w:tcW w:w="3685" w:type="dxa"/>
                </w:tcPr>
                <w:p w14:paraId="3713E230" w14:textId="77777777" w:rsidR="00557500" w:rsidRPr="00595BFC" w:rsidRDefault="00557500" w:rsidP="00557500">
                  <w:pPr>
                    <w:autoSpaceDE w:val="0"/>
                    <w:autoSpaceDN w:val="0"/>
                    <w:adjustRightInd w:val="0"/>
                    <w:jc w:val="center"/>
                  </w:pPr>
                  <w:r w:rsidRPr="00595BFC">
                    <w:t>Власне, орендоване, за договором лізингу, інші правові підстави набуття права користування, за договором надання послуг</w:t>
                  </w:r>
                </w:p>
              </w:tc>
              <w:tc>
                <w:tcPr>
                  <w:tcW w:w="2126" w:type="dxa"/>
                  <w:shd w:val="clear" w:color="auto" w:fill="auto"/>
                </w:tcPr>
                <w:p w14:paraId="10D90A01" w14:textId="77777777" w:rsidR="00557500" w:rsidRPr="00595BFC" w:rsidRDefault="00557500" w:rsidP="00557500">
                  <w:pPr>
                    <w:autoSpaceDE w:val="0"/>
                    <w:autoSpaceDN w:val="0"/>
                    <w:adjustRightInd w:val="0"/>
                    <w:jc w:val="center"/>
                  </w:pPr>
                  <w:r w:rsidRPr="00595BFC">
                    <w:t>Кількість, шт.</w:t>
                  </w:r>
                </w:p>
              </w:tc>
            </w:tr>
            <w:tr w:rsidR="00557500" w:rsidRPr="00595BFC" w14:paraId="0D181C98" w14:textId="77777777" w:rsidTr="00BE0EB5">
              <w:trPr>
                <w:gridAfter w:val="1"/>
                <w:wAfter w:w="6" w:type="dxa"/>
              </w:trPr>
              <w:tc>
                <w:tcPr>
                  <w:tcW w:w="534" w:type="dxa"/>
                  <w:shd w:val="clear" w:color="auto" w:fill="auto"/>
                </w:tcPr>
                <w:p w14:paraId="47B2AC6B" w14:textId="77777777" w:rsidR="00557500" w:rsidRPr="00595BFC" w:rsidRDefault="00557500" w:rsidP="00557500">
                  <w:pPr>
                    <w:autoSpaceDE w:val="0"/>
                    <w:autoSpaceDN w:val="0"/>
                    <w:adjustRightInd w:val="0"/>
                    <w:jc w:val="center"/>
                  </w:pPr>
                  <w:r w:rsidRPr="00595BFC">
                    <w:t>1</w:t>
                  </w:r>
                </w:p>
              </w:tc>
              <w:tc>
                <w:tcPr>
                  <w:tcW w:w="2268" w:type="dxa"/>
                  <w:shd w:val="clear" w:color="auto" w:fill="auto"/>
                </w:tcPr>
                <w:p w14:paraId="2C8D6442" w14:textId="77777777" w:rsidR="00557500" w:rsidRPr="00595BFC" w:rsidRDefault="00557500" w:rsidP="00557500">
                  <w:pPr>
                    <w:autoSpaceDE w:val="0"/>
                    <w:autoSpaceDN w:val="0"/>
                    <w:adjustRightInd w:val="0"/>
                    <w:jc w:val="center"/>
                  </w:pPr>
                  <w:r w:rsidRPr="00595BFC">
                    <w:t>2</w:t>
                  </w:r>
                </w:p>
              </w:tc>
              <w:tc>
                <w:tcPr>
                  <w:tcW w:w="1276" w:type="dxa"/>
                </w:tcPr>
                <w:p w14:paraId="474BF438" w14:textId="77777777" w:rsidR="00557500" w:rsidRPr="00595BFC" w:rsidRDefault="00557500" w:rsidP="00557500">
                  <w:pPr>
                    <w:autoSpaceDE w:val="0"/>
                    <w:autoSpaceDN w:val="0"/>
                    <w:adjustRightInd w:val="0"/>
                    <w:jc w:val="center"/>
                  </w:pPr>
                  <w:r w:rsidRPr="00595BFC">
                    <w:t>3</w:t>
                  </w:r>
                </w:p>
              </w:tc>
              <w:tc>
                <w:tcPr>
                  <w:tcW w:w="3685" w:type="dxa"/>
                </w:tcPr>
                <w:p w14:paraId="47E4E3AE" w14:textId="77777777" w:rsidR="00557500" w:rsidRPr="00595BFC" w:rsidRDefault="00557500" w:rsidP="00557500">
                  <w:pPr>
                    <w:autoSpaceDE w:val="0"/>
                    <w:autoSpaceDN w:val="0"/>
                    <w:adjustRightInd w:val="0"/>
                    <w:jc w:val="center"/>
                  </w:pPr>
                  <w:r w:rsidRPr="00595BFC">
                    <w:t>4</w:t>
                  </w:r>
                </w:p>
              </w:tc>
              <w:tc>
                <w:tcPr>
                  <w:tcW w:w="2126" w:type="dxa"/>
                  <w:shd w:val="clear" w:color="auto" w:fill="auto"/>
                </w:tcPr>
                <w:p w14:paraId="32FF7429" w14:textId="77777777" w:rsidR="00557500" w:rsidRPr="00595BFC" w:rsidRDefault="00557500" w:rsidP="00557500">
                  <w:pPr>
                    <w:autoSpaceDE w:val="0"/>
                    <w:autoSpaceDN w:val="0"/>
                    <w:adjustRightInd w:val="0"/>
                    <w:jc w:val="center"/>
                  </w:pPr>
                  <w:r w:rsidRPr="00595BFC">
                    <w:t>5</w:t>
                  </w:r>
                </w:p>
              </w:tc>
            </w:tr>
            <w:tr w:rsidR="00557500" w:rsidRPr="00595BFC" w14:paraId="3322B373" w14:textId="77777777" w:rsidTr="00BE0EB5">
              <w:tc>
                <w:tcPr>
                  <w:tcW w:w="9895" w:type="dxa"/>
                  <w:gridSpan w:val="6"/>
                  <w:shd w:val="clear" w:color="auto" w:fill="auto"/>
                </w:tcPr>
                <w:p w14:paraId="710DA292" w14:textId="77777777" w:rsidR="00557500" w:rsidRPr="00595BFC" w:rsidRDefault="00557500" w:rsidP="00557500">
                  <w:pPr>
                    <w:numPr>
                      <w:ilvl w:val="0"/>
                      <w:numId w:val="32"/>
                    </w:numPr>
                    <w:suppressAutoHyphens w:val="0"/>
                    <w:autoSpaceDE w:val="0"/>
                    <w:autoSpaceDN w:val="0"/>
                    <w:adjustRightInd w:val="0"/>
                    <w:jc w:val="center"/>
                  </w:pPr>
                  <w:r w:rsidRPr="00595BFC">
                    <w:t>Транспортні засоби</w:t>
                  </w:r>
                </w:p>
              </w:tc>
            </w:tr>
            <w:tr w:rsidR="00557500" w:rsidRPr="00595BFC" w14:paraId="3D0031CC" w14:textId="77777777" w:rsidTr="00BE0EB5">
              <w:tc>
                <w:tcPr>
                  <w:tcW w:w="9895" w:type="dxa"/>
                  <w:gridSpan w:val="6"/>
                  <w:shd w:val="clear" w:color="auto" w:fill="auto"/>
                </w:tcPr>
                <w:p w14:paraId="554B18B8" w14:textId="77777777" w:rsidR="00557500" w:rsidRPr="00595BFC" w:rsidRDefault="00557500" w:rsidP="00557500">
                  <w:pPr>
                    <w:numPr>
                      <w:ilvl w:val="0"/>
                      <w:numId w:val="32"/>
                    </w:numPr>
                    <w:suppressAutoHyphens w:val="0"/>
                    <w:autoSpaceDE w:val="0"/>
                    <w:autoSpaceDN w:val="0"/>
                    <w:adjustRightInd w:val="0"/>
                    <w:jc w:val="center"/>
                  </w:pPr>
                  <w:r w:rsidRPr="00595BFC">
                    <w:t>Обладнання</w:t>
                  </w:r>
                </w:p>
              </w:tc>
            </w:tr>
          </w:tbl>
          <w:p w14:paraId="4B83289D" w14:textId="77777777" w:rsidR="00557500" w:rsidRPr="00595BFC" w:rsidRDefault="00557500" w:rsidP="00557500">
            <w:pPr>
              <w:jc w:val="both"/>
            </w:pPr>
            <w:r w:rsidRPr="00595BFC">
              <w:t>Посада, прізвище, ініціали, підпис уповноваженої особи учасника, бажано завірені печаткою (у разі наявності).</w:t>
            </w:r>
          </w:p>
          <w:p w14:paraId="01B9F025" w14:textId="77777777" w:rsidR="00557500" w:rsidRPr="00595BFC" w:rsidRDefault="00557500" w:rsidP="00557500">
            <w:pPr>
              <w:jc w:val="both"/>
            </w:pPr>
          </w:p>
          <w:p w14:paraId="553E7E80" w14:textId="77777777" w:rsidR="00557500" w:rsidRDefault="00557500" w:rsidP="00557500">
            <w:pPr>
              <w:ind w:firstLine="709"/>
              <w:jc w:val="both"/>
            </w:pPr>
            <w:r w:rsidRPr="00595BFC">
              <w:t>Додатково, в довільній формі зазначається інформація про наявність власної, орендованої матеріально-технічної бази (офіси, склади, гаражі, майстерні та інш.) в м. Запоріжжі а</w:t>
            </w:r>
            <w:r>
              <w:t>бо в межах 30 км від Шевченківського  району в Запорізькій області</w:t>
            </w:r>
            <w:r w:rsidRPr="00595BFC">
              <w:t xml:space="preserve"> </w:t>
            </w:r>
            <w:r w:rsidRPr="005170E7">
              <w:t>з обов’язковим зазначенням переліку МТБ та адреси розташування</w:t>
            </w:r>
            <w:r w:rsidRPr="00595BFC">
              <w:t>.</w:t>
            </w:r>
          </w:p>
          <w:p w14:paraId="5987E425" w14:textId="77777777" w:rsidR="00557500" w:rsidRPr="00753D5B" w:rsidRDefault="00557500" w:rsidP="00557500">
            <w:pPr>
              <w:pStyle w:val="affa"/>
              <w:ind w:firstLine="708"/>
              <w:rPr>
                <w:lang w:val="ru-RU"/>
              </w:rPr>
            </w:pPr>
            <w:r w:rsidRPr="00753D5B">
              <w:t xml:space="preserve">Для забезпечення виконання вимог зазначених у технічному завданні обов’язкова наявність наступної матеріально-технічної бази (далі - МТБ): </w:t>
            </w:r>
            <w:r w:rsidRPr="00753D5B">
              <w:rPr>
                <w:lang w:val="ru-RU"/>
              </w:rPr>
              <w:t xml:space="preserve"> </w:t>
            </w:r>
          </w:p>
          <w:p w14:paraId="4D4842A5" w14:textId="77777777" w:rsidR="00557500" w:rsidRPr="00753D5B" w:rsidRDefault="00557500" w:rsidP="00557500">
            <w:pPr>
              <w:pStyle w:val="affa"/>
              <w:rPr>
                <w:lang w:eastAsia="uk-UA"/>
              </w:rPr>
            </w:pPr>
            <w:r>
              <w:rPr>
                <w:lang w:val="ru-RU" w:eastAsia="uk-UA"/>
              </w:rPr>
              <w:t>•</w:t>
            </w:r>
            <w:r>
              <w:rPr>
                <w:lang w:val="ru-RU" w:eastAsia="uk-UA"/>
              </w:rPr>
              <w:tab/>
            </w:r>
            <w:r w:rsidRPr="00753D5B">
              <w:rPr>
                <w:lang w:eastAsia="uk-UA"/>
              </w:rPr>
              <w:t>Вантажний автомобіль  або самоскид – не менше 2- х одиниць;</w:t>
            </w:r>
          </w:p>
          <w:p w14:paraId="6831A0A9" w14:textId="77777777" w:rsidR="00557500" w:rsidRPr="00753D5B" w:rsidRDefault="00557500" w:rsidP="00557500">
            <w:pPr>
              <w:pStyle w:val="affa"/>
              <w:rPr>
                <w:lang w:eastAsia="uk-UA"/>
              </w:rPr>
            </w:pPr>
            <w:r>
              <w:rPr>
                <w:lang w:eastAsia="uk-UA"/>
              </w:rPr>
              <w:t>•</w:t>
            </w:r>
            <w:r>
              <w:rPr>
                <w:lang w:eastAsia="uk-UA"/>
              </w:rPr>
              <w:tab/>
            </w:r>
            <w:r w:rsidRPr="00753D5B">
              <w:rPr>
                <w:lang w:eastAsia="uk-UA"/>
              </w:rPr>
              <w:t>Навантажувач або екск</w:t>
            </w:r>
            <w:r>
              <w:rPr>
                <w:lang w:eastAsia="uk-UA"/>
              </w:rPr>
              <w:t>аватор-навантажувач – не менше 1 –ї одиниці</w:t>
            </w:r>
            <w:r w:rsidRPr="00753D5B">
              <w:rPr>
                <w:lang w:eastAsia="uk-UA"/>
              </w:rPr>
              <w:t>;</w:t>
            </w:r>
          </w:p>
          <w:p w14:paraId="52ED62BD" w14:textId="77777777" w:rsidR="00557500" w:rsidRPr="00753D5B" w:rsidRDefault="00557500" w:rsidP="00557500">
            <w:pPr>
              <w:pStyle w:val="affa"/>
              <w:rPr>
                <w:lang w:eastAsia="uk-UA"/>
              </w:rPr>
            </w:pPr>
            <w:r w:rsidRPr="00753D5B">
              <w:rPr>
                <w:lang w:eastAsia="uk-UA"/>
              </w:rPr>
              <w:t>•</w:t>
            </w:r>
            <w:r w:rsidRPr="00753D5B">
              <w:rPr>
                <w:lang w:eastAsia="uk-UA"/>
              </w:rPr>
              <w:tab/>
              <w:t>Транспортний засіб з кількістю сидячих місць (з місцем водія) не менше 5 одиниць – не менше 1-ї одиниці;</w:t>
            </w:r>
          </w:p>
          <w:p w14:paraId="77F1C359" w14:textId="77777777" w:rsidR="00557500" w:rsidRPr="00753D5B" w:rsidRDefault="00557500" w:rsidP="00557500">
            <w:pPr>
              <w:pStyle w:val="affa"/>
              <w:rPr>
                <w:lang w:eastAsia="uk-UA"/>
              </w:rPr>
            </w:pPr>
            <w:r w:rsidRPr="00753D5B">
              <w:rPr>
                <w:lang w:eastAsia="uk-UA"/>
              </w:rPr>
              <w:t>•</w:t>
            </w:r>
            <w:r w:rsidRPr="00753D5B">
              <w:rPr>
                <w:lang w:eastAsia="uk-UA"/>
              </w:rPr>
              <w:tab/>
              <w:t>Вантажний автопідйомник – не менше 2-х одиниць;</w:t>
            </w:r>
          </w:p>
          <w:p w14:paraId="10E0339B" w14:textId="77777777" w:rsidR="00557500" w:rsidRPr="00753D5B" w:rsidRDefault="00557500" w:rsidP="00557500">
            <w:pPr>
              <w:pStyle w:val="affa"/>
              <w:rPr>
                <w:lang w:eastAsia="uk-UA"/>
              </w:rPr>
            </w:pPr>
            <w:r w:rsidRPr="00753D5B">
              <w:rPr>
                <w:lang w:eastAsia="uk-UA"/>
              </w:rPr>
              <w:t>•</w:t>
            </w:r>
            <w:r w:rsidRPr="00753D5B">
              <w:rPr>
                <w:lang w:eastAsia="uk-UA"/>
              </w:rPr>
              <w:tab/>
              <w:t>Трактор - не менше 1-ї одиниці;</w:t>
            </w:r>
          </w:p>
          <w:p w14:paraId="042887F8" w14:textId="77777777" w:rsidR="00557500" w:rsidRPr="00753D5B" w:rsidRDefault="00557500" w:rsidP="00557500">
            <w:pPr>
              <w:pStyle w:val="affa"/>
              <w:rPr>
                <w:lang w:eastAsia="uk-UA"/>
              </w:rPr>
            </w:pPr>
            <w:r w:rsidRPr="00753D5B">
              <w:rPr>
                <w:lang w:eastAsia="uk-UA"/>
              </w:rPr>
              <w:t>•</w:t>
            </w:r>
            <w:r w:rsidRPr="00753D5B">
              <w:rPr>
                <w:lang w:eastAsia="uk-UA"/>
              </w:rPr>
              <w:tab/>
              <w:t>Подрібнювач гілля чи деревоподрібнююча машина - не менше 1-ї одиниці;</w:t>
            </w:r>
          </w:p>
          <w:p w14:paraId="21F4F396" w14:textId="77777777" w:rsidR="00557500" w:rsidRPr="00753D5B" w:rsidRDefault="00557500" w:rsidP="00557500">
            <w:pPr>
              <w:pStyle w:val="affa"/>
            </w:pPr>
            <w:r>
              <w:rPr>
                <w:lang w:eastAsia="uk-UA"/>
              </w:rPr>
              <w:t>•</w:t>
            </w:r>
            <w:r>
              <w:rPr>
                <w:lang w:eastAsia="uk-UA"/>
              </w:rPr>
              <w:tab/>
            </w:r>
            <w:r w:rsidRPr="00753D5B">
              <w:rPr>
                <w:lang w:eastAsia="uk-UA"/>
              </w:rPr>
              <w:t>Бензопили – не менше 4-х одиниць.</w:t>
            </w:r>
            <w:r w:rsidRPr="00753D5B">
              <w:t xml:space="preserve">          </w:t>
            </w:r>
          </w:p>
          <w:p w14:paraId="4D3187B3" w14:textId="77777777" w:rsidR="00557500" w:rsidRPr="00753D5B" w:rsidRDefault="00557500" w:rsidP="00557500">
            <w:pPr>
              <w:pStyle w:val="affa"/>
              <w:ind w:firstLine="708"/>
            </w:pPr>
            <w:r w:rsidRPr="00753D5B">
              <w:t xml:space="preserve"> На вантажний автомобіль або самоскид, що буде (-уть)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002FBF70" w14:textId="77777777" w:rsidR="00557500" w:rsidRPr="00753D5B" w:rsidRDefault="00557500" w:rsidP="00557500">
            <w:pPr>
              <w:pStyle w:val="affa"/>
            </w:pPr>
            <w:r w:rsidRPr="00753D5B">
              <w:t xml:space="preserve">            На вантажний автопідйомник, що буде (-уть)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w:t>
            </w:r>
            <w:r w:rsidRPr="00753D5B">
              <w:lastRenderedPageBreak/>
              <w:t>складі тендерної пропозиції має надати фото, де видно державний реєстраційний номер транспортного засобу.</w:t>
            </w:r>
          </w:p>
          <w:p w14:paraId="42CFE442" w14:textId="77777777" w:rsidR="00557500" w:rsidRPr="00557500" w:rsidRDefault="00557500" w:rsidP="00557500">
            <w:pPr>
              <w:ind w:firstLine="709"/>
              <w:jc w:val="both"/>
              <w:rPr>
                <w:lang w:val="uk-UA"/>
              </w:rPr>
            </w:pPr>
            <w:r w:rsidRPr="00557500">
              <w:rPr>
                <w:lang w:val="uk-UA"/>
              </w:rPr>
              <w:t>Для підтвердження наявності зазначеної у довідці техніки необхідно надати скан-копії або завірені копії оригіналів документів, які підтверджують права власності на неї.</w:t>
            </w:r>
          </w:p>
          <w:p w14:paraId="3C749723" w14:textId="77777777" w:rsidR="00557500" w:rsidRPr="00557500" w:rsidRDefault="00557500" w:rsidP="00557500">
            <w:pPr>
              <w:ind w:firstLine="709"/>
              <w:jc w:val="both"/>
              <w:rPr>
                <w:lang w:val="uk-UA"/>
              </w:rPr>
            </w:pPr>
            <w:r w:rsidRPr="00557500">
              <w:rPr>
                <w:lang w:val="uk-UA"/>
              </w:rPr>
              <w:t>В разі використання орендованої техніки – надати скан-копію оригіналу договору оренди з зазначенням переліку орендованої техніки, дійсного як мінімум до 31.12.2023 року  та скан-копії або завірені копії оригіналів документів, що підтверджують права власності орендодавця на зазначену техніку.</w:t>
            </w:r>
          </w:p>
          <w:p w14:paraId="5FD6F5CD" w14:textId="77777777" w:rsidR="00557500" w:rsidRPr="00557500" w:rsidRDefault="00557500" w:rsidP="00557500">
            <w:pPr>
              <w:ind w:firstLine="709"/>
              <w:jc w:val="both"/>
              <w:rPr>
                <w:lang w:val="uk-UA"/>
              </w:rPr>
            </w:pPr>
            <w:r w:rsidRPr="00557500">
              <w:rPr>
                <w:lang w:val="uk-UA"/>
              </w:rPr>
              <w:t>В разі договору лізингу – надати скан-копію оригіналу договору, дійсного як мінімум до 31.12.2023 року з наданням скан-копій або завірених копій оригіналів документів, що підтверджують права власності лізингодавця.</w:t>
            </w:r>
          </w:p>
          <w:p w14:paraId="54A09C61" w14:textId="77777777" w:rsidR="00557500" w:rsidRPr="00753D5B" w:rsidRDefault="00557500" w:rsidP="00557500">
            <w:pPr>
              <w:ind w:firstLine="709"/>
              <w:jc w:val="both"/>
            </w:pPr>
            <w:r w:rsidRPr="00753D5B">
              <w:t>В разі залучення транспортних засобів за договором надання послуг – надати договір надання послуг з зазначенням переліку транспортних засобів дійсного як мінімум до 31.12.2023 року та свідоцтва про державну реєстрацію транспортних засобів, що підтверджують право власності на зазначену техніку.</w:t>
            </w:r>
          </w:p>
          <w:p w14:paraId="309C0616" w14:textId="77777777" w:rsidR="00557500" w:rsidRPr="00753D5B" w:rsidRDefault="00557500" w:rsidP="00557500">
            <w:pPr>
              <w:ind w:firstLine="709"/>
              <w:jc w:val="both"/>
            </w:pPr>
            <w:r w:rsidRPr="00753D5B">
              <w:t>Щодо інших правових підстав набуття права користування технікою надати підтверджуючі документи.</w:t>
            </w:r>
          </w:p>
          <w:p w14:paraId="6CA25374" w14:textId="77777777" w:rsidR="00557500" w:rsidRPr="00753D5B" w:rsidRDefault="00557500" w:rsidP="00557500">
            <w:pPr>
              <w:ind w:firstLine="709"/>
              <w:jc w:val="both"/>
            </w:pPr>
            <w:r w:rsidRPr="00753D5B">
              <w:t>Наявність обладнання та інструментів підтверджується балансовою довідкою або документами, які підтверджують право власності або користування.</w:t>
            </w:r>
          </w:p>
          <w:p w14:paraId="2A6884B3" w14:textId="77777777" w:rsidR="00557500" w:rsidRPr="00595BFC" w:rsidRDefault="00557500" w:rsidP="00557500">
            <w:pPr>
              <w:ind w:firstLine="709"/>
              <w:jc w:val="both"/>
            </w:pPr>
            <w:r w:rsidRPr="00753D5B">
              <w:t>Для підтвердження своєї відповідності даному критерію Учасник може залучити спроможності інших суб’єктів господарювання як субпідрядників/співвиконавців. На підтвердження інформації про залучення субпідрядників/співвиконавців Учасник має надати скан-копію оригіналу договору (укладеного між ним та субпідрядником/ співвиконавцем). Інформація надається згідно з вищезазначеною формою у розрізі субпідрядників/співвиконавців стосовно наявності у них обладнання, матеріально-технічної бази тощо.</w:t>
            </w:r>
          </w:p>
          <w:p w14:paraId="7BC041A5" w14:textId="77777777" w:rsidR="009C587D" w:rsidRPr="00C601BA" w:rsidRDefault="009C587D" w:rsidP="009C587D">
            <w:pPr>
              <w:pStyle w:val="afff1"/>
              <w:spacing w:before="0" w:after="0" w:line="23" w:lineRule="atLeast"/>
              <w:rPr>
                <w:lang w:val="ru-RU"/>
              </w:rPr>
            </w:pPr>
          </w:p>
          <w:p w14:paraId="67F43870" w14:textId="4C0876BE" w:rsidR="00720B2C" w:rsidRPr="00C601BA" w:rsidRDefault="00720B2C" w:rsidP="009C587D">
            <w:pPr>
              <w:pStyle w:val="afff1"/>
              <w:spacing w:before="0" w:after="0" w:line="23" w:lineRule="atLeast"/>
              <w:rPr>
                <w:b/>
              </w:rPr>
            </w:pPr>
            <w:r w:rsidRPr="00C601BA">
              <w:rPr>
                <w:b/>
              </w:rPr>
              <w:t>2. Наявність працівників відповідної кваліфікації, які мають необхідні знання та досвід.</w:t>
            </w:r>
          </w:p>
          <w:p w14:paraId="1F260C96" w14:textId="77777777" w:rsidR="00720B2C" w:rsidRPr="00C601BA" w:rsidRDefault="00720B2C" w:rsidP="00720B2C">
            <w:pPr>
              <w:pStyle w:val="afff1"/>
              <w:spacing w:before="0" w:after="0" w:line="23" w:lineRule="atLeast"/>
              <w:rPr>
                <w:b/>
              </w:rPr>
            </w:pPr>
            <w:r w:rsidRPr="00C601BA">
              <w:rPr>
                <w:b/>
                <w:caps/>
                <w:u w:val="single"/>
              </w:rPr>
              <w:t>Спосіб підтвердження</w:t>
            </w:r>
            <w:r w:rsidRPr="00C601BA">
              <w:rPr>
                <w:b/>
              </w:rPr>
              <w:t>:</w:t>
            </w:r>
          </w:p>
          <w:p w14:paraId="1F79FA5B" w14:textId="77777777" w:rsidR="00557500" w:rsidRPr="00557500" w:rsidRDefault="00557500" w:rsidP="00557500">
            <w:pPr>
              <w:ind w:firstLine="709"/>
              <w:jc w:val="both"/>
              <w:rPr>
                <w:lang w:val="uk-UA"/>
              </w:rPr>
            </w:pPr>
            <w:r w:rsidRPr="00557500">
              <w:rPr>
                <w:lang w:val="uk-UA"/>
              </w:rPr>
              <w:t>Довідка про наявність працівників відповідної кваліфікації, які мають необхідні знання та досвід: у кількості не менше 5 працівників робітничих професій (без врахування водіїв) та наявності штату ІТР, за нижченаведеними зразками:</w:t>
            </w:r>
          </w:p>
          <w:p w14:paraId="258635A6" w14:textId="77777777" w:rsidR="00557500" w:rsidRPr="00557500" w:rsidRDefault="00557500" w:rsidP="00557500">
            <w:pPr>
              <w:ind w:firstLine="709"/>
              <w:jc w:val="both"/>
              <w:rPr>
                <w:lang w:val="uk-UA"/>
              </w:rPr>
            </w:pPr>
          </w:p>
          <w:p w14:paraId="28C4F933" w14:textId="77777777" w:rsidR="00557500" w:rsidRPr="00557500" w:rsidRDefault="00557500" w:rsidP="00557500">
            <w:pPr>
              <w:ind w:firstLine="709"/>
              <w:jc w:val="both"/>
              <w:rPr>
                <w:lang w:val="uk-UA"/>
              </w:rPr>
            </w:pPr>
            <w:r w:rsidRPr="00557500">
              <w:rPr>
                <w:lang w:val="uk-UA"/>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2798CF7A" w14:textId="77777777" w:rsidR="00557500" w:rsidRPr="00557500" w:rsidRDefault="00557500" w:rsidP="00557500">
            <w:pPr>
              <w:ind w:firstLine="709"/>
              <w:jc w:val="both"/>
              <w:rPr>
                <w:sz w:val="12"/>
                <w:szCs w:val="12"/>
                <w:lang w:val="uk-UA"/>
              </w:rPr>
            </w:pPr>
          </w:p>
          <w:tbl>
            <w:tblPr>
              <w:tblW w:w="9747" w:type="dxa"/>
              <w:tblLayout w:type="fixed"/>
              <w:tblLook w:val="0000" w:firstRow="0" w:lastRow="0" w:firstColumn="0" w:lastColumn="0" w:noHBand="0" w:noVBand="0"/>
            </w:tblPr>
            <w:tblGrid>
              <w:gridCol w:w="534"/>
              <w:gridCol w:w="1559"/>
              <w:gridCol w:w="2409"/>
              <w:gridCol w:w="1192"/>
              <w:gridCol w:w="1661"/>
              <w:gridCol w:w="2392"/>
            </w:tblGrid>
            <w:tr w:rsidR="00557500" w:rsidRPr="00731BA2" w14:paraId="57CEC940" w14:textId="77777777" w:rsidTr="00BE0EB5">
              <w:trPr>
                <w:trHeight w:val="952"/>
              </w:trPr>
              <w:tc>
                <w:tcPr>
                  <w:tcW w:w="534" w:type="dxa"/>
                  <w:tcBorders>
                    <w:top w:val="single" w:sz="4" w:space="0" w:color="000000"/>
                    <w:left w:val="single" w:sz="4" w:space="0" w:color="000000"/>
                    <w:bottom w:val="single" w:sz="4" w:space="0" w:color="000000"/>
                  </w:tcBorders>
                  <w:shd w:val="clear" w:color="auto" w:fill="auto"/>
                </w:tcPr>
                <w:p w14:paraId="2C5C4CC5" w14:textId="77777777" w:rsidR="00557500" w:rsidRPr="00731BA2" w:rsidRDefault="00557500" w:rsidP="00557500">
                  <w:pPr>
                    <w:ind w:left="-41" w:right="-46"/>
                    <w:jc w:val="center"/>
                  </w:pPr>
                  <w:r w:rsidRPr="00731BA2">
                    <w:t>№</w:t>
                  </w:r>
                </w:p>
                <w:p w14:paraId="6BF9E60C" w14:textId="77777777" w:rsidR="00557500" w:rsidRPr="00731BA2" w:rsidRDefault="00557500" w:rsidP="00557500">
                  <w:pPr>
                    <w:keepLines/>
                    <w:autoSpaceDE w:val="0"/>
                    <w:ind w:left="-41" w:right="-46"/>
                    <w:jc w:val="center"/>
                  </w:pPr>
                  <w:r w:rsidRPr="00731BA2">
                    <w:t>п/п</w:t>
                  </w:r>
                </w:p>
              </w:tc>
              <w:tc>
                <w:tcPr>
                  <w:tcW w:w="1559" w:type="dxa"/>
                  <w:tcBorders>
                    <w:top w:val="single" w:sz="4" w:space="0" w:color="000000"/>
                    <w:left w:val="single" w:sz="4" w:space="0" w:color="000000"/>
                    <w:bottom w:val="single" w:sz="4" w:space="0" w:color="000000"/>
                  </w:tcBorders>
                  <w:shd w:val="clear" w:color="auto" w:fill="auto"/>
                </w:tcPr>
                <w:p w14:paraId="6CFB5B4F" w14:textId="77777777" w:rsidR="00557500" w:rsidRPr="0083053E" w:rsidRDefault="00557500" w:rsidP="00557500">
                  <w:pPr>
                    <w:keepLines/>
                    <w:autoSpaceDE w:val="0"/>
                    <w:ind w:left="-134" w:right="-92"/>
                    <w:jc w:val="center"/>
                  </w:pPr>
                  <w:r w:rsidRPr="00731BA2">
                    <w:t>Посада</w:t>
                  </w:r>
                  <w:r>
                    <w:t>, ф</w:t>
                  </w:r>
                  <w:r w:rsidRPr="008A3BF7">
                    <w:t>орма оформлення правовідносин з працівником</w:t>
                  </w:r>
                </w:p>
              </w:tc>
              <w:tc>
                <w:tcPr>
                  <w:tcW w:w="2409" w:type="dxa"/>
                  <w:tcBorders>
                    <w:top w:val="single" w:sz="4" w:space="0" w:color="000000"/>
                    <w:left w:val="single" w:sz="4" w:space="0" w:color="000000"/>
                    <w:bottom w:val="single" w:sz="4" w:space="0" w:color="000000"/>
                  </w:tcBorders>
                  <w:shd w:val="clear" w:color="auto" w:fill="auto"/>
                </w:tcPr>
                <w:p w14:paraId="01EAD6C5" w14:textId="77777777" w:rsidR="00557500" w:rsidRPr="00731BA2" w:rsidRDefault="00557500" w:rsidP="00557500">
                  <w:pPr>
                    <w:keepLines/>
                    <w:autoSpaceDE w:val="0"/>
                    <w:ind w:left="-32" w:right="-41"/>
                    <w:jc w:val="center"/>
                  </w:pPr>
                  <w:r w:rsidRPr="00731BA2">
                    <w:t>Прізвище, ім′я, по батькові</w:t>
                  </w:r>
                </w:p>
              </w:tc>
              <w:tc>
                <w:tcPr>
                  <w:tcW w:w="1192" w:type="dxa"/>
                  <w:tcBorders>
                    <w:top w:val="single" w:sz="4" w:space="0" w:color="000000"/>
                    <w:left w:val="single" w:sz="4" w:space="0" w:color="000000"/>
                    <w:bottom w:val="single" w:sz="4" w:space="0" w:color="000000"/>
                  </w:tcBorders>
                  <w:shd w:val="clear" w:color="auto" w:fill="auto"/>
                </w:tcPr>
                <w:p w14:paraId="293DFACA" w14:textId="77777777" w:rsidR="00557500" w:rsidRPr="00731BA2" w:rsidRDefault="00557500" w:rsidP="00557500">
                  <w:pPr>
                    <w:keepLines/>
                    <w:autoSpaceDE w:val="0"/>
                    <w:ind w:left="-108" w:right="-86"/>
                    <w:jc w:val="center"/>
                  </w:pPr>
                  <w:r w:rsidRPr="00731BA2">
                    <w:t>Освіта</w:t>
                  </w:r>
                </w:p>
              </w:tc>
              <w:tc>
                <w:tcPr>
                  <w:tcW w:w="1661" w:type="dxa"/>
                  <w:tcBorders>
                    <w:top w:val="single" w:sz="4" w:space="0" w:color="000000"/>
                    <w:left w:val="single" w:sz="4" w:space="0" w:color="000000"/>
                    <w:bottom w:val="single" w:sz="4" w:space="0" w:color="000000"/>
                  </w:tcBorders>
                  <w:shd w:val="clear" w:color="auto" w:fill="auto"/>
                </w:tcPr>
                <w:p w14:paraId="49CAEC34" w14:textId="77777777" w:rsidR="00557500" w:rsidRPr="00731BA2" w:rsidRDefault="00557500" w:rsidP="00557500">
                  <w:pPr>
                    <w:keepLines/>
                    <w:autoSpaceDE w:val="0"/>
                    <w:ind w:left="-11" w:right="-185"/>
                  </w:pPr>
                  <w:r w:rsidRPr="00731BA2">
                    <w:t>Спеціальність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08D4690D" w14:textId="77777777" w:rsidR="00557500" w:rsidRPr="00731BA2" w:rsidRDefault="00557500" w:rsidP="00557500">
                  <w:pPr>
                    <w:keepLines/>
                    <w:autoSpaceDE w:val="0"/>
                    <w:ind w:left="-108" w:right="-108"/>
                    <w:jc w:val="center"/>
                  </w:pPr>
                  <w:r w:rsidRPr="00731BA2">
                    <w:t>Загальний стаж роботи, років</w:t>
                  </w:r>
                </w:p>
              </w:tc>
            </w:tr>
            <w:tr w:rsidR="00557500" w:rsidRPr="00731BA2" w14:paraId="03840598" w14:textId="77777777" w:rsidTr="00BE0EB5">
              <w:trPr>
                <w:trHeight w:val="133"/>
              </w:trPr>
              <w:tc>
                <w:tcPr>
                  <w:tcW w:w="534" w:type="dxa"/>
                  <w:tcBorders>
                    <w:top w:val="single" w:sz="4" w:space="0" w:color="000000"/>
                    <w:left w:val="single" w:sz="4" w:space="0" w:color="000000"/>
                    <w:bottom w:val="single" w:sz="4" w:space="0" w:color="000000"/>
                  </w:tcBorders>
                  <w:shd w:val="clear" w:color="auto" w:fill="auto"/>
                </w:tcPr>
                <w:p w14:paraId="330B7890" w14:textId="77777777" w:rsidR="00557500" w:rsidRPr="00731BA2" w:rsidRDefault="00557500" w:rsidP="00557500">
                  <w:pPr>
                    <w:ind w:left="-41" w:right="-154"/>
                    <w:jc w:val="center"/>
                  </w:pPr>
                  <w:r w:rsidRPr="00731BA2">
                    <w:t>1</w:t>
                  </w:r>
                </w:p>
              </w:tc>
              <w:tc>
                <w:tcPr>
                  <w:tcW w:w="1559" w:type="dxa"/>
                  <w:tcBorders>
                    <w:top w:val="single" w:sz="4" w:space="0" w:color="000000"/>
                    <w:left w:val="single" w:sz="4" w:space="0" w:color="000000"/>
                    <w:bottom w:val="single" w:sz="4" w:space="0" w:color="000000"/>
                  </w:tcBorders>
                  <w:shd w:val="clear" w:color="auto" w:fill="auto"/>
                </w:tcPr>
                <w:p w14:paraId="5A1CFDC2" w14:textId="77777777" w:rsidR="00557500" w:rsidRPr="00731BA2" w:rsidRDefault="00557500" w:rsidP="00557500">
                  <w:pPr>
                    <w:jc w:val="center"/>
                  </w:pPr>
                  <w:r w:rsidRPr="00731BA2">
                    <w:t>2</w:t>
                  </w:r>
                </w:p>
              </w:tc>
              <w:tc>
                <w:tcPr>
                  <w:tcW w:w="2409" w:type="dxa"/>
                  <w:tcBorders>
                    <w:top w:val="single" w:sz="4" w:space="0" w:color="000000"/>
                    <w:left w:val="single" w:sz="4" w:space="0" w:color="000000"/>
                    <w:bottom w:val="single" w:sz="4" w:space="0" w:color="000000"/>
                  </w:tcBorders>
                  <w:shd w:val="clear" w:color="auto" w:fill="auto"/>
                </w:tcPr>
                <w:p w14:paraId="253FE654" w14:textId="77777777" w:rsidR="00557500" w:rsidRPr="00731BA2" w:rsidRDefault="00557500" w:rsidP="00557500">
                  <w:pPr>
                    <w:jc w:val="center"/>
                  </w:pPr>
                  <w:r w:rsidRPr="00731BA2">
                    <w:t>3</w:t>
                  </w:r>
                </w:p>
              </w:tc>
              <w:tc>
                <w:tcPr>
                  <w:tcW w:w="1192" w:type="dxa"/>
                  <w:tcBorders>
                    <w:top w:val="single" w:sz="4" w:space="0" w:color="000000"/>
                    <w:left w:val="single" w:sz="4" w:space="0" w:color="000000"/>
                    <w:bottom w:val="single" w:sz="4" w:space="0" w:color="000000"/>
                  </w:tcBorders>
                  <w:shd w:val="clear" w:color="auto" w:fill="auto"/>
                </w:tcPr>
                <w:p w14:paraId="1F73D8BE" w14:textId="77777777" w:rsidR="00557500" w:rsidRPr="00731BA2" w:rsidRDefault="00557500" w:rsidP="00557500">
                  <w:pPr>
                    <w:jc w:val="center"/>
                  </w:pPr>
                  <w:r w:rsidRPr="00731BA2">
                    <w:t>4</w:t>
                  </w:r>
                </w:p>
              </w:tc>
              <w:tc>
                <w:tcPr>
                  <w:tcW w:w="1661" w:type="dxa"/>
                  <w:tcBorders>
                    <w:top w:val="single" w:sz="4" w:space="0" w:color="000000"/>
                    <w:left w:val="single" w:sz="4" w:space="0" w:color="000000"/>
                    <w:bottom w:val="single" w:sz="4" w:space="0" w:color="000000"/>
                  </w:tcBorders>
                  <w:shd w:val="clear" w:color="auto" w:fill="auto"/>
                </w:tcPr>
                <w:p w14:paraId="3A4EBBA7" w14:textId="77777777" w:rsidR="00557500" w:rsidRPr="00731BA2" w:rsidRDefault="00557500" w:rsidP="00557500">
                  <w:pPr>
                    <w:jc w:val="center"/>
                  </w:pPr>
                  <w:r w:rsidRPr="00731BA2">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7981CC35" w14:textId="77777777" w:rsidR="00557500" w:rsidRPr="00731BA2" w:rsidRDefault="00557500" w:rsidP="00557500">
                  <w:pPr>
                    <w:jc w:val="center"/>
                  </w:pPr>
                  <w:r w:rsidRPr="00731BA2">
                    <w:t>6</w:t>
                  </w:r>
                </w:p>
              </w:tc>
            </w:tr>
          </w:tbl>
          <w:p w14:paraId="7AD740E7" w14:textId="77777777" w:rsidR="00557500" w:rsidRDefault="00557500" w:rsidP="00557500">
            <w:pPr>
              <w:jc w:val="both"/>
            </w:pPr>
            <w:r w:rsidRPr="00731BA2">
              <w:lastRenderedPageBreak/>
              <w:t xml:space="preserve">Посада, прізвище, ініціали, підпис уповноваженої особи учасника, </w:t>
            </w:r>
            <w:r>
              <w:t xml:space="preserve">бажано </w:t>
            </w:r>
            <w:r w:rsidRPr="00731BA2">
              <w:t>завірені печаткою (у разі наявності)</w:t>
            </w:r>
          </w:p>
          <w:p w14:paraId="2EE1CFF6" w14:textId="77777777" w:rsidR="00557500" w:rsidRDefault="00557500" w:rsidP="00557500">
            <w:pPr>
              <w:ind w:firstLine="709"/>
              <w:jc w:val="both"/>
            </w:pPr>
            <w:r>
              <w:t xml:space="preserve">Серед працівників </w:t>
            </w:r>
            <w:r w:rsidRPr="001A6680">
              <w:t>обов’язкова наявність спеціаліста-</w:t>
            </w:r>
            <w:r>
              <w:t>кошторисника або інженера-проектувальника (інженерно-будівельне проектування у частині кошторисної документації) – не менше 1-го працівника</w:t>
            </w:r>
            <w:r w:rsidRPr="00207446">
              <w:t>.</w:t>
            </w:r>
            <w:r w:rsidRPr="0098759A">
              <w:t xml:space="preserve"> </w:t>
            </w:r>
          </w:p>
          <w:p w14:paraId="27F3D587" w14:textId="77777777" w:rsidR="00557500" w:rsidRDefault="00557500" w:rsidP="00557500">
            <w:pPr>
              <w:ind w:firstLine="709"/>
              <w:jc w:val="both"/>
            </w:pPr>
            <w:r w:rsidRPr="00326494">
              <w:t>Разом з довідкою необхідно надати чинний документ, що підтверджує кваліфікацію спеціаліста-кошторисника</w:t>
            </w:r>
            <w:r>
              <w:t xml:space="preserve"> або інженера-проектувальника (інженерно-будівельне проектування у частині кошторисної документації), а саме: копію кваліфікаційного сертифікату завіреного підписом та печаткою уповноваженої особи та </w:t>
            </w:r>
            <w:r w:rsidRPr="00326494">
              <w:t>спеціаліста-кошторисника</w:t>
            </w:r>
            <w:r>
              <w:t xml:space="preserve"> або інженера-проектувальника (інженерно-будівельне проектування у частині кошторисної документації).</w:t>
            </w:r>
          </w:p>
          <w:p w14:paraId="5053689E" w14:textId="77777777" w:rsidR="00557500" w:rsidRDefault="00557500" w:rsidP="00557500">
            <w:pPr>
              <w:ind w:firstLine="709"/>
              <w:jc w:val="both"/>
            </w:pPr>
            <w:r w:rsidRPr="005D3919">
              <w:t xml:space="preserve"> </w:t>
            </w:r>
            <w:r w:rsidRPr="00753D5B">
              <w:t xml:space="preserve">В разі видачі такого </w:t>
            </w:r>
            <w:r>
              <w:t xml:space="preserve">кваліфікаційного </w:t>
            </w:r>
            <w:r w:rsidRPr="00753D5B">
              <w:t>сертифікату більш ніж п’ять років тому з дати кінцевого строку подання тендерних пропозицій – надати свідоцтво про підвищення кваліфікації)</w:t>
            </w:r>
            <w:r>
              <w:t xml:space="preserve">. </w:t>
            </w:r>
          </w:p>
          <w:p w14:paraId="2AE167AA" w14:textId="77777777" w:rsidR="00557500" w:rsidRDefault="00557500" w:rsidP="00557500">
            <w:pPr>
              <w:ind w:firstLine="709"/>
              <w:jc w:val="both"/>
            </w:pPr>
            <w:r>
              <w:t xml:space="preserve">- </w:t>
            </w:r>
            <w:r w:rsidRPr="00951288">
              <w:t>Інж</w:t>
            </w:r>
            <w:r w:rsidRPr="001361CF">
              <w:t>енер з охорони праці (будівництво)</w:t>
            </w:r>
            <w:r>
              <w:t xml:space="preserve"> </w:t>
            </w:r>
            <w:r w:rsidRPr="001361CF">
              <w:t>– не менше 1</w:t>
            </w:r>
            <w:r>
              <w:t>-</w:t>
            </w:r>
            <w:r w:rsidRPr="001361CF">
              <w:t xml:space="preserve">го працівника. На підтвердження кваліфікації надати </w:t>
            </w:r>
            <w:r>
              <w:t xml:space="preserve">копію </w:t>
            </w:r>
            <w:r w:rsidRPr="001361CF">
              <w:t>сертифікат</w:t>
            </w:r>
            <w:r>
              <w:t>у, виданого</w:t>
            </w:r>
            <w:r w:rsidRPr="001361CF">
              <w:t xml:space="preserve"> акредитованим органом із сертифікації</w:t>
            </w:r>
            <w:r>
              <w:t xml:space="preserve"> персоналу будівельної галузі завіреного підписом та печаткою уповноваженої особи. </w:t>
            </w:r>
          </w:p>
          <w:p w14:paraId="2452BEAC" w14:textId="77777777" w:rsidR="00557500" w:rsidRDefault="00557500" w:rsidP="00557500">
            <w:pPr>
              <w:ind w:firstLine="709"/>
              <w:jc w:val="both"/>
            </w:pPr>
            <w:r w:rsidRPr="00753D5B">
              <w:t xml:space="preserve">В разі видачі такого </w:t>
            </w:r>
            <w:r>
              <w:t xml:space="preserve"> </w:t>
            </w:r>
            <w:r w:rsidRPr="00753D5B">
              <w:t>сертифікату більш ніж п’ять років тому з дати кінцевого строку подання тендерних пропозицій – надати свідоцтво про підвищення кваліфікації)</w:t>
            </w:r>
            <w:r>
              <w:t xml:space="preserve">. </w:t>
            </w:r>
          </w:p>
          <w:p w14:paraId="1569A521" w14:textId="77777777" w:rsidR="00557500" w:rsidRPr="00712E4A" w:rsidRDefault="00557500" w:rsidP="00557500">
            <w:pPr>
              <w:jc w:val="both"/>
              <w:rPr>
                <w:sz w:val="12"/>
                <w:szCs w:val="12"/>
              </w:rPr>
            </w:pPr>
          </w:p>
          <w:p w14:paraId="10F091E6" w14:textId="77777777" w:rsidR="00557500" w:rsidRDefault="00557500" w:rsidP="00557500">
            <w:pPr>
              <w:ind w:firstLine="709"/>
              <w:jc w:val="both"/>
            </w:pPr>
            <w:r w:rsidRPr="00731BA2">
              <w:t>2.2 Інформаційна довідка наявності чисельності персоналу та кваліфікацію працівників (для робочих професій).</w:t>
            </w:r>
          </w:p>
          <w:p w14:paraId="7819CCCA" w14:textId="77777777" w:rsidR="00557500" w:rsidRPr="00731BA2" w:rsidRDefault="00557500" w:rsidP="00557500">
            <w:pPr>
              <w:ind w:firstLine="709"/>
              <w:jc w:val="both"/>
            </w:pPr>
          </w:p>
          <w:p w14:paraId="10D24FFB" w14:textId="77777777" w:rsidR="00557500" w:rsidRPr="00731BA2" w:rsidRDefault="00557500" w:rsidP="00557500">
            <w:pPr>
              <w:ind w:firstLine="709"/>
              <w:jc w:val="both"/>
              <w:rPr>
                <w:sz w:val="12"/>
                <w:szCs w:val="12"/>
              </w:rPr>
            </w:pPr>
          </w:p>
          <w:tbl>
            <w:tblPr>
              <w:tblW w:w="0" w:type="auto"/>
              <w:tblLayout w:type="fixed"/>
              <w:tblLook w:val="0000" w:firstRow="0" w:lastRow="0" w:firstColumn="0" w:lastColumn="0" w:noHBand="0" w:noVBand="0"/>
            </w:tblPr>
            <w:tblGrid>
              <w:gridCol w:w="675"/>
              <w:gridCol w:w="1701"/>
              <w:gridCol w:w="2268"/>
              <w:gridCol w:w="2694"/>
              <w:gridCol w:w="2409"/>
            </w:tblGrid>
            <w:tr w:rsidR="00557500" w:rsidRPr="00711F34" w14:paraId="7ABD1E2B" w14:textId="77777777" w:rsidTr="00BE0EB5">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14:paraId="6F53078E" w14:textId="77777777" w:rsidR="00557500" w:rsidRPr="00711F34" w:rsidRDefault="00557500" w:rsidP="00557500">
                  <w:pPr>
                    <w:ind w:left="-41" w:right="-46"/>
                    <w:jc w:val="center"/>
                  </w:pPr>
                  <w:r w:rsidRPr="00711F34">
                    <w:t>№</w:t>
                  </w:r>
                </w:p>
                <w:p w14:paraId="5F55B557" w14:textId="77777777" w:rsidR="00557500" w:rsidRPr="00711F34" w:rsidRDefault="00557500" w:rsidP="00557500">
                  <w:pPr>
                    <w:keepLines/>
                    <w:autoSpaceDE w:val="0"/>
                    <w:ind w:left="-41" w:right="-46"/>
                    <w:jc w:val="center"/>
                  </w:pPr>
                  <w:r w:rsidRPr="00711F34">
                    <w:t>п/п</w:t>
                  </w:r>
                </w:p>
              </w:tc>
              <w:tc>
                <w:tcPr>
                  <w:tcW w:w="1701" w:type="dxa"/>
                  <w:vMerge w:val="restart"/>
                  <w:tcBorders>
                    <w:top w:val="single" w:sz="4" w:space="0" w:color="000000"/>
                    <w:left w:val="single" w:sz="4" w:space="0" w:color="000000"/>
                    <w:bottom w:val="single" w:sz="4" w:space="0" w:color="000000"/>
                  </w:tcBorders>
                  <w:shd w:val="clear" w:color="auto" w:fill="auto"/>
                </w:tcPr>
                <w:p w14:paraId="761AB407" w14:textId="77777777" w:rsidR="00557500" w:rsidRPr="00711F34" w:rsidRDefault="00557500" w:rsidP="00557500">
                  <w:pPr>
                    <w:keepLines/>
                    <w:autoSpaceDE w:val="0"/>
                    <w:ind w:left="-13" w:right="-108"/>
                    <w:jc w:val="center"/>
                  </w:pPr>
                  <w:r w:rsidRPr="00711F34">
                    <w:t>Прізвище,  ім′я, по батькові</w:t>
                  </w:r>
                </w:p>
              </w:tc>
              <w:tc>
                <w:tcPr>
                  <w:tcW w:w="2268" w:type="dxa"/>
                  <w:vMerge w:val="restart"/>
                  <w:tcBorders>
                    <w:top w:val="single" w:sz="4" w:space="0" w:color="000000"/>
                    <w:left w:val="single" w:sz="4" w:space="0" w:color="000000"/>
                    <w:bottom w:val="single" w:sz="4" w:space="0" w:color="000000"/>
                  </w:tcBorders>
                  <w:shd w:val="clear" w:color="auto" w:fill="auto"/>
                </w:tcPr>
                <w:p w14:paraId="7979602F" w14:textId="77777777" w:rsidR="00557500" w:rsidRPr="00711F34" w:rsidRDefault="00557500" w:rsidP="00557500">
                  <w:pPr>
                    <w:keepLines/>
                    <w:autoSpaceDE w:val="0"/>
                    <w:jc w:val="center"/>
                  </w:pPr>
                  <w:r w:rsidRPr="00711F34">
                    <w:t>Посада</w:t>
                  </w:r>
                </w:p>
              </w:tc>
              <w:tc>
                <w:tcPr>
                  <w:tcW w:w="2694" w:type="dxa"/>
                  <w:vMerge w:val="restart"/>
                  <w:tcBorders>
                    <w:top w:val="single" w:sz="4" w:space="0" w:color="000000"/>
                    <w:left w:val="single" w:sz="4" w:space="0" w:color="000000"/>
                    <w:bottom w:val="single" w:sz="4" w:space="0" w:color="000000"/>
                  </w:tcBorders>
                  <w:shd w:val="clear" w:color="auto" w:fill="auto"/>
                </w:tcPr>
                <w:p w14:paraId="406BDDCA" w14:textId="77777777" w:rsidR="00557500" w:rsidRPr="00711F34" w:rsidRDefault="00557500" w:rsidP="00557500">
                  <w:pPr>
                    <w:keepLines/>
                    <w:autoSpaceDE w:val="0"/>
                    <w:ind w:left="-80" w:right="-108"/>
                    <w:jc w:val="center"/>
                  </w:pPr>
                  <w:r w:rsidRPr="00711F34">
                    <w:t>Форма оформлення правовідносин з працівником</w:t>
                  </w:r>
                </w:p>
              </w:tc>
              <w:tc>
                <w:tcPr>
                  <w:tcW w:w="2409" w:type="dxa"/>
                  <w:vMerge w:val="restart"/>
                  <w:tcBorders>
                    <w:top w:val="single" w:sz="4" w:space="0" w:color="000000"/>
                    <w:left w:val="single" w:sz="4" w:space="0" w:color="000000"/>
                    <w:right w:val="single" w:sz="4" w:space="0" w:color="000000"/>
                  </w:tcBorders>
                  <w:shd w:val="clear" w:color="auto" w:fill="auto"/>
                </w:tcPr>
                <w:p w14:paraId="05286BD3" w14:textId="77777777" w:rsidR="00557500" w:rsidRPr="00711F34" w:rsidRDefault="00557500" w:rsidP="00557500">
                  <w:pPr>
                    <w:jc w:val="center"/>
                  </w:pPr>
                  <w:r w:rsidRPr="00711F34">
                    <w:t>Загальний стаж роботи, років</w:t>
                  </w:r>
                </w:p>
              </w:tc>
            </w:tr>
            <w:tr w:rsidR="00557500" w:rsidRPr="00711F34" w14:paraId="157B94C3" w14:textId="77777777" w:rsidTr="00BE0EB5">
              <w:trPr>
                <w:cantSplit/>
                <w:trHeight w:val="453"/>
              </w:trPr>
              <w:tc>
                <w:tcPr>
                  <w:tcW w:w="675" w:type="dxa"/>
                  <w:vMerge/>
                  <w:tcBorders>
                    <w:top w:val="single" w:sz="4" w:space="0" w:color="000000"/>
                    <w:left w:val="single" w:sz="4" w:space="0" w:color="000000"/>
                    <w:bottom w:val="single" w:sz="4" w:space="0" w:color="000000"/>
                  </w:tcBorders>
                  <w:shd w:val="clear" w:color="auto" w:fill="auto"/>
                </w:tcPr>
                <w:p w14:paraId="443B5161" w14:textId="77777777" w:rsidR="00557500" w:rsidRPr="00711F34" w:rsidRDefault="00557500" w:rsidP="00557500">
                  <w:pPr>
                    <w:snapToGrid w:val="0"/>
                    <w:ind w:left="-41" w:right="-46"/>
                    <w:jc w:val="center"/>
                  </w:pPr>
                </w:p>
              </w:tc>
              <w:tc>
                <w:tcPr>
                  <w:tcW w:w="1701" w:type="dxa"/>
                  <w:vMerge/>
                  <w:tcBorders>
                    <w:top w:val="single" w:sz="4" w:space="0" w:color="000000"/>
                    <w:left w:val="single" w:sz="4" w:space="0" w:color="000000"/>
                    <w:bottom w:val="single" w:sz="4" w:space="0" w:color="000000"/>
                  </w:tcBorders>
                  <w:shd w:val="clear" w:color="auto" w:fill="auto"/>
                </w:tcPr>
                <w:p w14:paraId="32ADD686" w14:textId="77777777" w:rsidR="00557500" w:rsidRPr="00711F34" w:rsidRDefault="00557500" w:rsidP="00557500">
                  <w:pPr>
                    <w:keepLines/>
                    <w:autoSpaceDE w:val="0"/>
                    <w:snapToGrid w:val="0"/>
                    <w:ind w:left="-13" w:right="-108"/>
                    <w:jc w:val="center"/>
                  </w:pPr>
                </w:p>
              </w:tc>
              <w:tc>
                <w:tcPr>
                  <w:tcW w:w="2268" w:type="dxa"/>
                  <w:vMerge/>
                  <w:tcBorders>
                    <w:top w:val="single" w:sz="4" w:space="0" w:color="000000"/>
                    <w:left w:val="single" w:sz="4" w:space="0" w:color="000000"/>
                    <w:bottom w:val="single" w:sz="4" w:space="0" w:color="000000"/>
                  </w:tcBorders>
                  <w:shd w:val="clear" w:color="auto" w:fill="auto"/>
                </w:tcPr>
                <w:p w14:paraId="520B95D1" w14:textId="77777777" w:rsidR="00557500" w:rsidRPr="00711F34" w:rsidRDefault="00557500" w:rsidP="00557500">
                  <w:pPr>
                    <w:keepLines/>
                    <w:autoSpaceDE w:val="0"/>
                    <w:snapToGrid w:val="0"/>
                    <w:jc w:val="center"/>
                  </w:pPr>
                </w:p>
              </w:tc>
              <w:tc>
                <w:tcPr>
                  <w:tcW w:w="2694" w:type="dxa"/>
                  <w:vMerge/>
                  <w:tcBorders>
                    <w:top w:val="single" w:sz="4" w:space="0" w:color="000000"/>
                    <w:left w:val="single" w:sz="4" w:space="0" w:color="000000"/>
                    <w:bottom w:val="single" w:sz="4" w:space="0" w:color="000000"/>
                  </w:tcBorders>
                  <w:shd w:val="clear" w:color="auto" w:fill="auto"/>
                </w:tcPr>
                <w:p w14:paraId="217F432D" w14:textId="77777777" w:rsidR="00557500" w:rsidRPr="00711F34" w:rsidRDefault="00557500" w:rsidP="00557500">
                  <w:pPr>
                    <w:keepLines/>
                    <w:autoSpaceDE w:val="0"/>
                    <w:snapToGrid w:val="0"/>
                    <w:ind w:left="-80" w:right="-108"/>
                    <w:jc w:val="center"/>
                  </w:pPr>
                </w:p>
              </w:tc>
              <w:tc>
                <w:tcPr>
                  <w:tcW w:w="2409" w:type="dxa"/>
                  <w:vMerge/>
                  <w:tcBorders>
                    <w:left w:val="single" w:sz="4" w:space="0" w:color="000000"/>
                    <w:bottom w:val="single" w:sz="4" w:space="0" w:color="000000"/>
                    <w:right w:val="single" w:sz="4" w:space="0" w:color="000000"/>
                  </w:tcBorders>
                  <w:shd w:val="clear" w:color="auto" w:fill="auto"/>
                </w:tcPr>
                <w:p w14:paraId="2A40DD6E" w14:textId="77777777" w:rsidR="00557500" w:rsidRPr="00711F34" w:rsidRDefault="00557500" w:rsidP="00557500">
                  <w:pPr>
                    <w:snapToGrid w:val="0"/>
                    <w:jc w:val="center"/>
                  </w:pPr>
                </w:p>
              </w:tc>
            </w:tr>
            <w:tr w:rsidR="00557500" w:rsidRPr="00711F34" w14:paraId="25908592" w14:textId="77777777" w:rsidTr="00BE0EB5">
              <w:tc>
                <w:tcPr>
                  <w:tcW w:w="675" w:type="dxa"/>
                  <w:tcBorders>
                    <w:top w:val="single" w:sz="4" w:space="0" w:color="000000"/>
                    <w:left w:val="single" w:sz="4" w:space="0" w:color="000000"/>
                    <w:bottom w:val="single" w:sz="4" w:space="0" w:color="000000"/>
                  </w:tcBorders>
                  <w:shd w:val="clear" w:color="auto" w:fill="auto"/>
                </w:tcPr>
                <w:p w14:paraId="4106C179" w14:textId="77777777" w:rsidR="00557500" w:rsidRPr="00711F34" w:rsidRDefault="00557500" w:rsidP="00557500">
                  <w:pPr>
                    <w:ind w:left="-41" w:right="-154"/>
                    <w:jc w:val="center"/>
                  </w:pPr>
                  <w:r w:rsidRPr="00711F34">
                    <w:t>1</w:t>
                  </w:r>
                </w:p>
              </w:tc>
              <w:tc>
                <w:tcPr>
                  <w:tcW w:w="1701" w:type="dxa"/>
                  <w:tcBorders>
                    <w:top w:val="single" w:sz="4" w:space="0" w:color="000000"/>
                    <w:left w:val="single" w:sz="4" w:space="0" w:color="000000"/>
                    <w:bottom w:val="single" w:sz="4" w:space="0" w:color="000000"/>
                  </w:tcBorders>
                  <w:shd w:val="clear" w:color="auto" w:fill="auto"/>
                </w:tcPr>
                <w:p w14:paraId="3B39277C" w14:textId="77777777" w:rsidR="00557500" w:rsidRPr="00711F34" w:rsidRDefault="00557500" w:rsidP="00557500">
                  <w:pPr>
                    <w:jc w:val="center"/>
                  </w:pPr>
                  <w:r w:rsidRPr="00711F34">
                    <w:t>2</w:t>
                  </w:r>
                </w:p>
              </w:tc>
              <w:tc>
                <w:tcPr>
                  <w:tcW w:w="2268" w:type="dxa"/>
                  <w:tcBorders>
                    <w:top w:val="single" w:sz="4" w:space="0" w:color="000000"/>
                    <w:left w:val="single" w:sz="4" w:space="0" w:color="000000"/>
                    <w:bottom w:val="single" w:sz="4" w:space="0" w:color="000000"/>
                  </w:tcBorders>
                  <w:shd w:val="clear" w:color="auto" w:fill="auto"/>
                </w:tcPr>
                <w:p w14:paraId="1AAC8270" w14:textId="77777777" w:rsidR="00557500" w:rsidRPr="00711F34" w:rsidRDefault="00557500" w:rsidP="00557500">
                  <w:pPr>
                    <w:jc w:val="center"/>
                  </w:pPr>
                  <w:r w:rsidRPr="00711F34">
                    <w:t>3</w:t>
                  </w:r>
                </w:p>
              </w:tc>
              <w:tc>
                <w:tcPr>
                  <w:tcW w:w="2694" w:type="dxa"/>
                  <w:tcBorders>
                    <w:top w:val="single" w:sz="4" w:space="0" w:color="000000"/>
                    <w:left w:val="single" w:sz="4" w:space="0" w:color="000000"/>
                    <w:bottom w:val="single" w:sz="4" w:space="0" w:color="000000"/>
                  </w:tcBorders>
                  <w:shd w:val="clear" w:color="auto" w:fill="auto"/>
                </w:tcPr>
                <w:p w14:paraId="6714B39D" w14:textId="77777777" w:rsidR="00557500" w:rsidRPr="00711F34" w:rsidRDefault="00557500" w:rsidP="00557500">
                  <w:pPr>
                    <w:jc w:val="center"/>
                  </w:pPr>
                  <w:r w:rsidRPr="00711F34">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3B7F54" w14:textId="77777777" w:rsidR="00557500" w:rsidRPr="00711F34" w:rsidRDefault="00557500" w:rsidP="00557500">
                  <w:pPr>
                    <w:jc w:val="center"/>
                  </w:pPr>
                  <w:r w:rsidRPr="00711F34">
                    <w:t>5</w:t>
                  </w:r>
                </w:p>
              </w:tc>
            </w:tr>
          </w:tbl>
          <w:p w14:paraId="3460F387" w14:textId="77777777" w:rsidR="00557500" w:rsidRPr="00731BA2" w:rsidRDefault="00557500" w:rsidP="00557500">
            <w:pPr>
              <w:jc w:val="both"/>
            </w:pPr>
            <w:r w:rsidRPr="00731BA2">
              <w:t xml:space="preserve">Посада, прізвище, ініціали, підпис уповноваженої особи учасника, </w:t>
            </w:r>
            <w:r>
              <w:t xml:space="preserve">бажано </w:t>
            </w:r>
            <w:r w:rsidRPr="00731BA2">
              <w:t>завірені печаткою (у разі наявності)</w:t>
            </w:r>
          </w:p>
          <w:p w14:paraId="066B5272" w14:textId="77777777" w:rsidR="00557500" w:rsidRDefault="00557500" w:rsidP="00557500">
            <w:pPr>
              <w:jc w:val="both"/>
              <w:rPr>
                <w:sz w:val="12"/>
                <w:szCs w:val="12"/>
              </w:rPr>
            </w:pPr>
          </w:p>
          <w:p w14:paraId="5E468F11" w14:textId="77777777" w:rsidR="00557500" w:rsidRDefault="00557500" w:rsidP="00557500">
            <w:pPr>
              <w:ind w:firstLine="709"/>
              <w:jc w:val="both"/>
            </w:pPr>
            <w:r w:rsidRPr="00FB7297">
              <w:t xml:space="preserve">Для підтвердження наявності </w:t>
            </w:r>
            <w:r>
              <w:t xml:space="preserve">досвіду роботи працівників, які будуть залучені до надання послуг, надати витяги трудових книжок або наказів про призначення або розпоряджень або трудові договори або договори цивільно-правового характеру, які підтверджують наявність працівника та стаж роботи такого працівника та строком дії не менше ніж строк надання послуг. </w:t>
            </w:r>
          </w:p>
          <w:p w14:paraId="53EB6D18" w14:textId="276C8CAE" w:rsidR="00557500" w:rsidRDefault="00557500" w:rsidP="00557500">
            <w:pPr>
              <w:ind w:firstLine="709"/>
              <w:jc w:val="both"/>
            </w:pPr>
            <w:r w:rsidRPr="00B55193">
              <w:t>Обов’язково, з метою дотримання Закону України “Про захист персональних даних”  та інших норм чинного зако</w:t>
            </w:r>
            <w:r>
              <w:t>нодавства, від кожного працівника</w:t>
            </w:r>
            <w:r w:rsidRPr="00B55193">
              <w:t xml:space="preserve">, якого </w:t>
            </w:r>
            <w:r>
              <w:t>планується залучити до надання</w:t>
            </w:r>
            <w:r w:rsidRPr="00B55193">
              <w:t xml:space="preserve"> послуг </w:t>
            </w:r>
            <w:r>
              <w:t xml:space="preserve">потрібно </w:t>
            </w:r>
            <w:r w:rsidRPr="00B55193">
              <w:t xml:space="preserve">надати лист – згоду на обробку персональних даних. </w:t>
            </w:r>
            <w:r>
              <w:rPr>
                <w:shd w:val="clear" w:color="auto" w:fill="FFFFFF"/>
              </w:rPr>
              <w:t xml:space="preserve">(Додаток </w:t>
            </w:r>
            <w:r>
              <w:rPr>
                <w:shd w:val="clear" w:color="auto" w:fill="FFFFFF"/>
                <w:lang w:val="uk-UA"/>
              </w:rPr>
              <w:t>4</w:t>
            </w:r>
            <w:r w:rsidRPr="00753D5B">
              <w:rPr>
                <w:shd w:val="clear" w:color="auto" w:fill="FFFFFF"/>
              </w:rPr>
              <w:t>).</w:t>
            </w:r>
          </w:p>
          <w:p w14:paraId="09C51D78" w14:textId="77777777" w:rsidR="00557500" w:rsidRDefault="00557500" w:rsidP="00557500">
            <w:pPr>
              <w:ind w:firstLine="709"/>
              <w:jc w:val="both"/>
            </w:pPr>
            <w:r>
              <w:t>Серед працівників, зазначених у довідках, обов’язкова наявність особи, відповідальної за охорону праці з наданням скан-копії з оригіналу посвідчення про проходження навчання та перевірку знань чинного законодавства України про охорону праці, виданого відповідним навчальним закладом, що підтверджує перевірку знань відповідної особи з охорони праці.</w:t>
            </w:r>
          </w:p>
          <w:p w14:paraId="421D2FC4" w14:textId="77777777" w:rsidR="0098787B" w:rsidRPr="00C601BA" w:rsidRDefault="0098787B" w:rsidP="0098787B">
            <w:pPr>
              <w:ind w:right="34" w:firstLine="365"/>
              <w:contextualSpacing/>
              <w:jc w:val="both"/>
              <w:rPr>
                <w:lang w:val="uk-UA"/>
              </w:rPr>
            </w:pPr>
          </w:p>
          <w:p w14:paraId="38C91D51" w14:textId="77777777" w:rsidR="00EA293D" w:rsidRPr="00C601BA" w:rsidRDefault="00EA293D" w:rsidP="00EA293D">
            <w:pPr>
              <w:pStyle w:val="afff1"/>
              <w:spacing w:before="0" w:after="0"/>
              <w:rPr>
                <w:b/>
              </w:rPr>
            </w:pPr>
            <w:r w:rsidRPr="00C601BA">
              <w:rPr>
                <w:b/>
                <w:lang w:val="ru-RU"/>
              </w:rPr>
              <w:lastRenderedPageBreak/>
              <w:t>3</w:t>
            </w:r>
            <w:r w:rsidRPr="00C601BA">
              <w:rPr>
                <w:b/>
              </w:rPr>
              <w:t xml:space="preserve">. Наявність документально підтвердженого досвіду виконання аналогічного договору. </w:t>
            </w:r>
          </w:p>
          <w:p w14:paraId="16768BF6" w14:textId="77777777" w:rsidR="00EA293D" w:rsidRPr="00C601BA" w:rsidRDefault="00EA293D" w:rsidP="00EA293D">
            <w:pPr>
              <w:pStyle w:val="afff1"/>
              <w:spacing w:before="0" w:after="0" w:line="23" w:lineRule="atLeast"/>
              <w:rPr>
                <w:b/>
              </w:rPr>
            </w:pPr>
            <w:r w:rsidRPr="00C601BA">
              <w:rPr>
                <w:b/>
                <w:caps/>
                <w:u w:val="single"/>
              </w:rPr>
              <w:t>Спосіб підтвердження</w:t>
            </w:r>
            <w:r w:rsidRPr="00C601BA">
              <w:rPr>
                <w:b/>
              </w:rPr>
              <w:t>:</w:t>
            </w:r>
          </w:p>
          <w:p w14:paraId="001F0B8F" w14:textId="77777777" w:rsidR="003F3551" w:rsidRPr="007B3ACE" w:rsidRDefault="003F3551" w:rsidP="003F3551">
            <w:pPr>
              <w:ind w:firstLine="709"/>
              <w:jc w:val="both"/>
            </w:pPr>
            <w:r>
              <w:t xml:space="preserve">Довідка, складена у довільний формі, про наявність в учасника документально підтвердженого </w:t>
            </w:r>
            <w:r w:rsidRPr="00717537">
              <w:t>дос</w:t>
            </w:r>
            <w:r>
              <w:t xml:space="preserve">віду виконання аналогічного за </w:t>
            </w:r>
            <w:r w:rsidRPr="00717537">
              <w:t xml:space="preserve">предметом закупівлі договору. </w:t>
            </w:r>
            <w:r w:rsidRPr="00BA71EA">
              <w:t xml:space="preserve">Під аналогічним договором мається на увазі договір надання послуг зі звалювання (видалення) </w:t>
            </w:r>
            <w:r>
              <w:t xml:space="preserve">дерев та/або обрізання  </w:t>
            </w:r>
            <w:r w:rsidRPr="00BA71EA">
              <w:t>дерев.</w:t>
            </w:r>
            <w:r>
              <w:t xml:space="preserve"> </w:t>
            </w:r>
            <w:r w:rsidRPr="005C0BFE">
              <w:t>Аналогічний договір повинен бути заключений з організацією (підприємством чи установою), що утримується за рахунок бюджетних коштів.</w:t>
            </w:r>
          </w:p>
          <w:p w14:paraId="420B2153" w14:textId="77777777" w:rsidR="003F3551" w:rsidRPr="00712E4A" w:rsidRDefault="003F3551" w:rsidP="003F3551">
            <w:pPr>
              <w:ind w:firstLine="397"/>
              <w:jc w:val="both"/>
              <w:rPr>
                <w:sz w:val="12"/>
                <w:szCs w:val="1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2508"/>
              <w:gridCol w:w="2835"/>
              <w:gridCol w:w="2410"/>
              <w:gridCol w:w="1984"/>
            </w:tblGrid>
            <w:tr w:rsidR="003F3551" w14:paraId="47360434" w14:textId="77777777" w:rsidTr="00BE0EB5">
              <w:trPr>
                <w:trHeight w:val="1757"/>
              </w:trPr>
              <w:tc>
                <w:tcPr>
                  <w:tcW w:w="2508" w:type="dxa"/>
                  <w:tcBorders>
                    <w:top w:val="single" w:sz="4" w:space="0" w:color="auto"/>
                    <w:left w:val="single" w:sz="4" w:space="0" w:color="auto"/>
                    <w:bottom w:val="single" w:sz="4" w:space="0" w:color="auto"/>
                    <w:right w:val="single" w:sz="4" w:space="0" w:color="auto"/>
                  </w:tcBorders>
                  <w:hideMark/>
                </w:tcPr>
                <w:p w14:paraId="400A45B8" w14:textId="77777777" w:rsidR="003F3551" w:rsidRDefault="003F3551" w:rsidP="003F3551">
                  <w:pPr>
                    <w:pStyle w:val="affa"/>
                    <w:jc w:val="center"/>
                  </w:pPr>
                  <w:r>
                    <w:t>Повне наймену-вання замовника (контраген-та)</w:t>
                  </w:r>
                </w:p>
              </w:tc>
              <w:tc>
                <w:tcPr>
                  <w:tcW w:w="2835" w:type="dxa"/>
                  <w:tcBorders>
                    <w:top w:val="single" w:sz="4" w:space="0" w:color="auto"/>
                    <w:left w:val="single" w:sz="4" w:space="0" w:color="auto"/>
                    <w:bottom w:val="single" w:sz="4" w:space="0" w:color="auto"/>
                    <w:right w:val="single" w:sz="4" w:space="0" w:color="auto"/>
                  </w:tcBorders>
                  <w:hideMark/>
                </w:tcPr>
                <w:p w14:paraId="65218087" w14:textId="77777777" w:rsidR="003F3551" w:rsidRDefault="003F3551" w:rsidP="003F3551">
                  <w:pPr>
                    <w:pStyle w:val="affa"/>
                    <w:jc w:val="center"/>
                  </w:pPr>
                  <w:r>
                    <w:t>Місцезна-ходження замовника (контраген-та), номери контактних телефонів,</w:t>
                  </w:r>
                </w:p>
                <w:p w14:paraId="514CAF55" w14:textId="77777777" w:rsidR="003F3551" w:rsidRDefault="003F3551" w:rsidP="003F3551">
                  <w:pPr>
                    <w:jc w:val="center"/>
                    <w:rPr>
                      <w:bCs/>
                      <w:shd w:val="clear" w:color="auto" w:fill="FFFF00"/>
                    </w:rPr>
                  </w:pPr>
                  <w:r>
                    <w:t>ПІБ керівника</w:t>
                  </w:r>
                </w:p>
              </w:tc>
              <w:tc>
                <w:tcPr>
                  <w:tcW w:w="2410" w:type="dxa"/>
                  <w:tcBorders>
                    <w:top w:val="single" w:sz="4" w:space="0" w:color="auto"/>
                    <w:left w:val="single" w:sz="4" w:space="0" w:color="auto"/>
                    <w:bottom w:val="single" w:sz="4" w:space="0" w:color="auto"/>
                    <w:right w:val="single" w:sz="4" w:space="0" w:color="auto"/>
                  </w:tcBorders>
                  <w:hideMark/>
                </w:tcPr>
                <w:p w14:paraId="05EF2620" w14:textId="77777777" w:rsidR="003F3551" w:rsidRDefault="003F3551" w:rsidP="003F3551">
                  <w:pPr>
                    <w:jc w:val="center"/>
                    <w:rPr>
                      <w:bCs/>
                      <w:shd w:val="clear" w:color="auto" w:fill="FFFF00"/>
                    </w:rPr>
                  </w:pPr>
                  <w:r>
                    <w:t xml:space="preserve">Предмет договору </w:t>
                  </w:r>
                  <w:r w:rsidRPr="00717537">
                    <w:t>та обсяг</w:t>
                  </w:r>
                  <w:r>
                    <w:t>и</w:t>
                  </w:r>
                  <w:r w:rsidRPr="00717537">
                    <w:t xml:space="preserve"> </w:t>
                  </w:r>
                </w:p>
              </w:tc>
              <w:tc>
                <w:tcPr>
                  <w:tcW w:w="1984" w:type="dxa"/>
                  <w:tcBorders>
                    <w:top w:val="single" w:sz="4" w:space="0" w:color="auto"/>
                    <w:left w:val="single" w:sz="4" w:space="0" w:color="auto"/>
                    <w:bottom w:val="single" w:sz="4" w:space="0" w:color="auto"/>
                    <w:right w:val="single" w:sz="4" w:space="0" w:color="auto"/>
                  </w:tcBorders>
                </w:tcPr>
                <w:p w14:paraId="42964FB9" w14:textId="77777777" w:rsidR="003F3551" w:rsidRDefault="003F3551" w:rsidP="003F3551">
                  <w:pPr>
                    <w:pStyle w:val="affa"/>
                    <w:jc w:val="center"/>
                  </w:pPr>
                  <w:r>
                    <w:t>Сума договору,</w:t>
                  </w:r>
                </w:p>
                <w:p w14:paraId="1B7D4B98" w14:textId="77777777" w:rsidR="003F3551" w:rsidRDefault="003F3551" w:rsidP="003F3551">
                  <w:pPr>
                    <w:pStyle w:val="affa"/>
                    <w:jc w:val="center"/>
                  </w:pPr>
                  <w:r>
                    <w:t>грн.</w:t>
                  </w:r>
                </w:p>
                <w:p w14:paraId="30C9C276" w14:textId="77777777" w:rsidR="003F3551" w:rsidRDefault="003F3551" w:rsidP="003F3551">
                  <w:pPr>
                    <w:jc w:val="center"/>
                    <w:rPr>
                      <w:bCs/>
                      <w:shd w:val="clear" w:color="auto" w:fill="FFFF00"/>
                    </w:rPr>
                  </w:pPr>
                </w:p>
              </w:tc>
            </w:tr>
            <w:tr w:rsidR="003F3551" w14:paraId="56A30697" w14:textId="77777777" w:rsidTr="00BE0EB5">
              <w:trPr>
                <w:trHeight w:val="131"/>
              </w:trPr>
              <w:tc>
                <w:tcPr>
                  <w:tcW w:w="2508" w:type="dxa"/>
                  <w:tcBorders>
                    <w:top w:val="single" w:sz="4" w:space="0" w:color="auto"/>
                    <w:left w:val="single" w:sz="4" w:space="0" w:color="auto"/>
                    <w:bottom w:val="single" w:sz="4" w:space="0" w:color="auto"/>
                    <w:right w:val="single" w:sz="4" w:space="0" w:color="auto"/>
                  </w:tcBorders>
                  <w:hideMark/>
                </w:tcPr>
                <w:p w14:paraId="7E4C28D6" w14:textId="77777777" w:rsidR="003F3551" w:rsidRDefault="003F3551" w:rsidP="003F3551">
                  <w:pPr>
                    <w:pStyle w:val="affa"/>
                    <w:jc w:val="center"/>
                  </w:pPr>
                  <w:r>
                    <w:t>1</w:t>
                  </w:r>
                </w:p>
              </w:tc>
              <w:tc>
                <w:tcPr>
                  <w:tcW w:w="2835" w:type="dxa"/>
                  <w:tcBorders>
                    <w:top w:val="single" w:sz="4" w:space="0" w:color="auto"/>
                    <w:left w:val="single" w:sz="4" w:space="0" w:color="auto"/>
                    <w:bottom w:val="single" w:sz="4" w:space="0" w:color="auto"/>
                    <w:right w:val="single" w:sz="4" w:space="0" w:color="auto"/>
                  </w:tcBorders>
                  <w:hideMark/>
                </w:tcPr>
                <w:p w14:paraId="4AC793CD" w14:textId="77777777" w:rsidR="003F3551" w:rsidRDefault="003F3551" w:rsidP="003F3551">
                  <w:pPr>
                    <w:pStyle w:val="affa"/>
                    <w:jc w:val="center"/>
                  </w:pPr>
                  <w:r>
                    <w:t>2</w:t>
                  </w:r>
                </w:p>
              </w:tc>
              <w:tc>
                <w:tcPr>
                  <w:tcW w:w="2410" w:type="dxa"/>
                  <w:tcBorders>
                    <w:top w:val="single" w:sz="4" w:space="0" w:color="auto"/>
                    <w:left w:val="single" w:sz="4" w:space="0" w:color="auto"/>
                    <w:bottom w:val="single" w:sz="4" w:space="0" w:color="auto"/>
                    <w:right w:val="single" w:sz="4" w:space="0" w:color="auto"/>
                  </w:tcBorders>
                  <w:hideMark/>
                </w:tcPr>
                <w:p w14:paraId="657DF543" w14:textId="77777777" w:rsidR="003F3551" w:rsidRDefault="003F3551" w:rsidP="003F3551">
                  <w:pPr>
                    <w:pStyle w:val="affa"/>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2C370AB8" w14:textId="77777777" w:rsidR="003F3551" w:rsidRDefault="003F3551" w:rsidP="003F3551">
                  <w:pPr>
                    <w:pStyle w:val="affa"/>
                    <w:jc w:val="center"/>
                  </w:pPr>
                  <w:r>
                    <w:t>4</w:t>
                  </w:r>
                </w:p>
              </w:tc>
            </w:tr>
          </w:tbl>
          <w:p w14:paraId="4740AF37" w14:textId="77777777" w:rsidR="003F3551" w:rsidRDefault="003F3551" w:rsidP="003F3551">
            <w:pPr>
              <w:ind w:firstLine="397"/>
              <w:jc w:val="both"/>
            </w:pPr>
            <w:r>
              <w:t>(</w:t>
            </w:r>
            <w:r w:rsidRPr="007227E4">
              <w:t xml:space="preserve">для підтвердження повного та належного виконання аналогічного договору, а також для підтвердження інформації згідно довідки учасник в складі тендерної пропозиції  має надати: 1) аналогічний договір </w:t>
            </w:r>
            <w:r w:rsidRPr="007227E4">
              <w:rPr>
                <w:bCs/>
                <w:shd w:val="clear" w:color="auto" w:fill="FFFFFF"/>
              </w:rPr>
              <w:t>з усіма додатками та додатковими угодами; 2) акти надання послуг на весь обсяг</w:t>
            </w:r>
            <w:r>
              <w:rPr>
                <w:bCs/>
                <w:shd w:val="clear" w:color="auto" w:fill="FFFFFF"/>
              </w:rPr>
              <w:t xml:space="preserve"> послуг за договором)</w:t>
            </w:r>
            <w:r w:rsidRPr="00326494">
              <w:t>.</w:t>
            </w:r>
          </w:p>
          <w:p w14:paraId="6F84D72D" w14:textId="1EC7BDE4" w:rsidR="007F45E4" w:rsidRPr="00C601BA" w:rsidRDefault="007F45E4" w:rsidP="00E17237">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8" w:name="n163"/>
            <w:bookmarkEnd w:id="28"/>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9" w:name="_gjdgxs" w:colFirst="0" w:colLast="0"/>
            <w:bookmarkEnd w:id="29"/>
            <w:r w:rsidRPr="00C601BA">
              <w:t>:</w:t>
            </w:r>
          </w:p>
          <w:p w14:paraId="59B78E4E" w14:textId="77777777" w:rsidR="00BA5163" w:rsidRPr="00C601BA" w:rsidRDefault="00BA5163" w:rsidP="00BA5163">
            <w:pPr>
              <w:pStyle w:val="affa"/>
              <w:ind w:firstLine="408"/>
              <w:rPr>
                <w:lang w:eastAsia="uk-UA"/>
              </w:rPr>
            </w:pPr>
            <w:r w:rsidRPr="00C601BA">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C601BA">
                <w:rPr>
                  <w:rStyle w:val="aa"/>
                  <w:color w:val="auto"/>
                </w:rPr>
                <w:t>статтею 17</w:t>
              </w:r>
            </w:hyperlink>
            <w:r w:rsidRPr="00C601BA">
              <w:t> Закону (крім </w:t>
            </w:r>
            <w:hyperlink r:id="rId14"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30" w:name="n160"/>
            <w:bookmarkEnd w:id="30"/>
            <w:r w:rsidRPr="00C601BA">
              <w:t>Замовник не перевіряє переможця процедури закупівлі на відповідність підстави, визначеної </w:t>
            </w:r>
            <w:hyperlink r:id="rId15" w:anchor="n1275" w:tgtFrame="_blank" w:history="1">
              <w:r w:rsidRPr="00C601BA">
                <w:rPr>
                  <w:rStyle w:val="aa"/>
                  <w:color w:val="auto"/>
                </w:rPr>
                <w:t>пунктом 13</w:t>
              </w:r>
            </w:hyperlink>
            <w:r w:rsidRPr="00C601BA">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1" w:name="n161"/>
            <w:bookmarkEnd w:id="31"/>
            <w:r w:rsidRPr="00C601BA">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C601BA">
              <w:lastRenderedPageBreak/>
              <w:t>підтверджують відсутність підстав, визначених </w:t>
            </w:r>
            <w:hyperlink r:id="rId16" w:anchor="n1265" w:tgtFrame="_blank" w:history="1">
              <w:r w:rsidRPr="00C601BA">
                <w:rPr>
                  <w:rStyle w:val="aa"/>
                  <w:color w:val="auto"/>
                </w:rPr>
                <w:t>пунктами 3</w:t>
              </w:r>
            </w:hyperlink>
            <w:r w:rsidRPr="00C601BA">
              <w:t>, </w:t>
            </w:r>
            <w:hyperlink r:id="rId17" w:anchor="n1267" w:tgtFrame="_blank" w:history="1">
              <w:r w:rsidRPr="00C601BA">
                <w:rPr>
                  <w:rStyle w:val="aa"/>
                  <w:color w:val="auto"/>
                </w:rPr>
                <w:t>5</w:t>
              </w:r>
            </w:hyperlink>
            <w:r w:rsidRPr="00C601BA">
              <w:t>, </w:t>
            </w:r>
            <w:hyperlink r:id="rId18" w:anchor="n1268" w:tgtFrame="_blank" w:history="1">
              <w:r w:rsidRPr="00C601BA">
                <w:rPr>
                  <w:rStyle w:val="aa"/>
                  <w:color w:val="auto"/>
                </w:rPr>
                <w:t>6</w:t>
              </w:r>
            </w:hyperlink>
            <w:r w:rsidRPr="00C601BA">
              <w:t> і </w:t>
            </w:r>
            <w:hyperlink r:id="rId19" w:anchor="n1274" w:tgtFrame="_blank" w:history="1">
              <w:r w:rsidRPr="00C601BA">
                <w:rPr>
                  <w:rStyle w:val="aa"/>
                  <w:color w:val="auto"/>
                </w:rPr>
                <w:t>12</w:t>
              </w:r>
            </w:hyperlink>
            <w:r w:rsidRPr="00C601BA">
              <w:t> частини першої та </w:t>
            </w:r>
            <w:hyperlink r:id="rId20"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2"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t>6)</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lastRenderedPageBreak/>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3" w:history="1">
              <w:r w:rsidRPr="00C601BA">
                <w:rPr>
                  <w:rStyle w:val="aa"/>
                  <w:color w:val="auto"/>
                  <w:sz w:val="28"/>
                  <w:szCs w:val="28"/>
                </w:rPr>
                <w:t>https://vytiah.mvs.gov.ua/app/checkStatus</w:t>
              </w:r>
            </w:hyperlink>
          </w:p>
          <w:p w14:paraId="48040256" w14:textId="77777777" w:rsidR="00720B2C" w:rsidRDefault="004163DA" w:rsidP="00DF7A99">
            <w:pPr>
              <w:pStyle w:val="affa"/>
            </w:pPr>
            <w:r w:rsidRPr="00C601BA">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DA6BC4" w14:textId="77777777" w:rsidR="00763956" w:rsidRPr="00314949" w:rsidRDefault="00763956" w:rsidP="00763956">
            <w:pPr>
              <w:ind w:firstLine="708"/>
              <w:jc w:val="both"/>
              <w:rPr>
                <w:color w:val="000000"/>
                <w:lang w:val="uk-UA"/>
              </w:rPr>
            </w:pPr>
            <w:r w:rsidRPr="00763956">
              <w:rPr>
                <w:lang w:val="uk-UA"/>
              </w:rPr>
              <w:t>Відповідно до абзацу 2.ч.15 ст.29 Закону України «Про публічні закупівлі</w:t>
            </w:r>
            <w:r w:rsidRPr="00763956">
              <w:rPr>
                <w:color w:val="000000"/>
                <w:lang w:val="uk-UA"/>
              </w:rPr>
              <w:t>»</w:t>
            </w:r>
            <w:r w:rsidRPr="00763956">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63956">
              <w:rPr>
                <w:color w:val="000000"/>
                <w:lang w:val="uk-UA"/>
              </w:rPr>
              <w:t xml:space="preserve">. </w:t>
            </w:r>
            <w:r w:rsidRPr="00314949">
              <w:rPr>
                <w:color w:val="000000"/>
                <w:lang w:val="uk-UA"/>
              </w:rPr>
              <w:t>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41BD4B21" w:rsidR="00763956" w:rsidRPr="00314949" w:rsidRDefault="00763956" w:rsidP="00763956">
            <w:pPr>
              <w:pStyle w:val="rvps2"/>
              <w:shd w:val="clear" w:color="auto" w:fill="FFFFFF"/>
              <w:spacing w:before="0" w:after="0"/>
              <w:ind w:firstLine="708"/>
              <w:jc w:val="both"/>
              <w:rPr>
                <w:color w:val="000000"/>
                <w:szCs w:val="22"/>
                <w:lang w:val="uk-UA" w:eastAsia="en-US"/>
              </w:rPr>
            </w:pPr>
            <w:r w:rsidRPr="00314949">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805CBD"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r w:rsidRPr="00982003">
              <w:t>Вимоги до предмета закупівлі (технічні, якісні та кількісні характеристики) згідно з</w:t>
            </w:r>
            <w:hyperlink r:id="rId24">
              <w:r w:rsidRPr="00982003">
                <w:t xml:space="preserve"> пунктом третім </w:t>
              </w:r>
            </w:hyperlink>
            <w:hyperlink r:id="rId25">
              <w:r w:rsidRPr="00982003">
                <w:rPr>
                  <w:u w:val="single"/>
                </w:rPr>
                <w:t>частиною другою</w:t>
              </w:r>
            </w:hyperlink>
            <w:r w:rsidRPr="00982003">
              <w:t xml:space="preserve"> статті 22 Закону зазначено в </w:t>
            </w:r>
            <w:r w:rsidRPr="00982003">
              <w:rPr>
                <w:b/>
                <w:i/>
              </w:rPr>
              <w:t>Додатку 2</w:t>
            </w:r>
            <w:r w:rsidRPr="00982003">
              <w:rPr>
                <w:b/>
              </w:rPr>
              <w:t xml:space="preserve"> </w:t>
            </w:r>
            <w:r w:rsidRPr="00982003">
              <w:t>до цієї тендерної документації.</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lastRenderedPageBreak/>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805CBD"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805CBD"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r w:rsidRPr="00275F93">
              <w:t>Відкриті торги проводяться без застосування електронного аукціону.</w:t>
            </w:r>
          </w:p>
          <w:p w14:paraId="3ECAAC69" w14:textId="77777777" w:rsidR="00275F93" w:rsidRPr="00275F93" w:rsidRDefault="00275F93" w:rsidP="00275F93">
            <w:pPr>
              <w:spacing w:before="120"/>
              <w:ind w:firstLine="567"/>
              <w:jc w:val="both"/>
            </w:pPr>
            <w:r w:rsidRPr="00275F9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451D87" w14:textId="77777777" w:rsidR="00275F93" w:rsidRPr="00275F93" w:rsidRDefault="00275F93" w:rsidP="00275F93">
            <w:pPr>
              <w:spacing w:before="120"/>
              <w:ind w:firstLine="567"/>
              <w:jc w:val="both"/>
            </w:pPr>
            <w:r w:rsidRPr="00275F9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r w:rsidRPr="00D07C87">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032701" w14:textId="77777777" w:rsidR="00D07C87" w:rsidRPr="00D07C87" w:rsidRDefault="00D07C87" w:rsidP="00D07C87">
            <w:pPr>
              <w:spacing w:before="120"/>
              <w:ind w:firstLine="567"/>
              <w:jc w:val="both"/>
            </w:pPr>
            <w:r w:rsidRPr="00D07C87">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982612">
              <w:rPr>
                <w:lang w:val="uk-UA"/>
              </w:rPr>
              <w:lastRenderedPageBreak/>
              <w:t>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82612">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3E29C1" w14:textId="77777777" w:rsidR="00982612" w:rsidRPr="00982612" w:rsidRDefault="00982612" w:rsidP="00982612">
            <w:pPr>
              <w:spacing w:before="120"/>
              <w:ind w:firstLine="567"/>
              <w:jc w:val="both"/>
            </w:pPr>
            <w:r w:rsidRPr="00982612">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982612">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D49AC6" w14:textId="77777777" w:rsidR="00982612" w:rsidRPr="00982612" w:rsidRDefault="00982612" w:rsidP="00982612">
            <w:pPr>
              <w:spacing w:before="120"/>
              <w:ind w:firstLine="567"/>
              <w:jc w:val="both"/>
            </w:pPr>
            <w:r w:rsidRPr="0098261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42403F" w14:textId="77777777" w:rsidR="00982612" w:rsidRPr="00982612" w:rsidRDefault="00982612" w:rsidP="00982612">
            <w:pPr>
              <w:spacing w:before="120"/>
              <w:ind w:firstLine="567"/>
              <w:jc w:val="both"/>
            </w:pPr>
            <w:r w:rsidRPr="00982612">
              <w:t>Обґрунтування аномально низької тендерної пропозиції може містити інформацію про:</w:t>
            </w:r>
          </w:p>
          <w:p w14:paraId="0BA79212" w14:textId="77777777" w:rsidR="00982612" w:rsidRPr="00982612" w:rsidRDefault="00982612" w:rsidP="00982612">
            <w:pPr>
              <w:spacing w:before="120"/>
              <w:ind w:firstLine="567"/>
              <w:jc w:val="both"/>
            </w:pPr>
            <w:r w:rsidRPr="00982612">
              <w:t>досягнення економії завдяки застосованому технологічному процесу виробництва товарів, порядку надання послуг чи технології будівництва;</w:t>
            </w:r>
          </w:p>
          <w:p w14:paraId="369B8692" w14:textId="77777777" w:rsidR="00982612" w:rsidRPr="00982612" w:rsidRDefault="00982612" w:rsidP="00982612">
            <w:pPr>
              <w:spacing w:before="120"/>
              <w:ind w:firstLine="567"/>
              <w:jc w:val="both"/>
            </w:pPr>
            <w:r w:rsidRPr="0098261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865434" w14:textId="77777777" w:rsidR="00982612" w:rsidRPr="00982612" w:rsidRDefault="00982612" w:rsidP="00982612">
            <w:pPr>
              <w:spacing w:before="120"/>
              <w:ind w:firstLine="567"/>
              <w:jc w:val="both"/>
            </w:pPr>
            <w:r w:rsidRPr="00982612">
              <w:t>отримання учасником процедури закупівлі державної допомоги згідно із законодавством.</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4787A5B" w14:textId="77777777" w:rsidR="00982612" w:rsidRPr="00982612" w:rsidRDefault="00982612" w:rsidP="00982612">
            <w:pPr>
              <w:spacing w:before="120"/>
              <w:ind w:firstLine="567"/>
              <w:jc w:val="both"/>
            </w:pPr>
            <w:r w:rsidRPr="00982612">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FAF975" w14:textId="77777777" w:rsidR="00982612" w:rsidRPr="00982612" w:rsidRDefault="00982612" w:rsidP="00982612">
            <w:pPr>
              <w:spacing w:before="120"/>
              <w:ind w:firstLine="567"/>
              <w:jc w:val="both"/>
            </w:pPr>
            <w:r w:rsidRPr="0098261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7EC7E0" w14:textId="49091D13" w:rsidR="004755CC" w:rsidRPr="00982612" w:rsidRDefault="00982612" w:rsidP="00982612">
            <w:pPr>
              <w:spacing w:before="120"/>
              <w:ind w:firstLine="567"/>
              <w:jc w:val="both"/>
            </w:pPr>
            <w:r w:rsidRPr="00982612">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bookmarkStart w:id="34" w:name="bookmark=id.1y810tw" w:colFirst="0" w:colLast="0"/>
            <w:bookmarkStart w:id="35" w:name="bookmark=id.3j2qqm3" w:colFirst="0" w:colLast="0"/>
            <w:bookmarkStart w:id="36" w:name="bookmark=id.4i7ojhp" w:colFirst="0" w:colLast="0"/>
            <w:bookmarkEnd w:id="34"/>
            <w:bookmarkEnd w:id="35"/>
            <w:bookmarkEnd w:id="36"/>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805CBD"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50B10085" w14:textId="07344B64" w:rsidR="00720B2C" w:rsidRPr="00FC64A0" w:rsidRDefault="00720B2C" w:rsidP="00720B2C">
            <w:pPr>
              <w:pStyle w:val="affa"/>
              <w:ind w:firstLine="408"/>
              <w:rPr>
                <w:b/>
                <w:bCs/>
                <w:i/>
                <w:iCs/>
              </w:rPr>
            </w:pPr>
            <w:r w:rsidRPr="00FC64A0">
              <w:rPr>
                <w:b/>
                <w:bCs/>
                <w:i/>
                <w:iCs/>
              </w:rPr>
              <w:t xml:space="preserve">Замовник відхиляє тендерну пропозицію із зазначенням аргументації в електронній системі закупівель у разі, </w:t>
            </w:r>
            <w:r w:rsidR="00C111C9" w:rsidRPr="00FC64A0">
              <w:rPr>
                <w:b/>
                <w:bCs/>
                <w:i/>
                <w:iCs/>
              </w:rPr>
              <w:t>коли</w:t>
            </w:r>
            <w:r w:rsidRPr="00FC64A0">
              <w:rPr>
                <w:b/>
                <w:bCs/>
                <w:i/>
                <w:iCs/>
              </w:rPr>
              <w:t>:</w:t>
            </w:r>
          </w:p>
          <w:p w14:paraId="690BB06A" w14:textId="77777777" w:rsidR="00BC6600" w:rsidRPr="00FC64A0" w:rsidRDefault="00BC6600" w:rsidP="00BC6600">
            <w:pPr>
              <w:pStyle w:val="affa"/>
              <w:rPr>
                <w:b/>
                <w:bCs/>
                <w:lang w:eastAsia="uk-UA"/>
              </w:rPr>
            </w:pPr>
            <w:r w:rsidRPr="00FC64A0">
              <w:t xml:space="preserve">1) </w:t>
            </w:r>
            <w:r w:rsidRPr="00FC64A0">
              <w:rPr>
                <w:b/>
                <w:bCs/>
              </w:rPr>
              <w:t>учасник процедури закупівлі:</w:t>
            </w:r>
          </w:p>
          <w:p w14:paraId="007BCDC5" w14:textId="77777777" w:rsidR="00BC6600" w:rsidRPr="00FC64A0" w:rsidRDefault="00BC6600" w:rsidP="00BC6600">
            <w:pPr>
              <w:pStyle w:val="affa"/>
            </w:pPr>
            <w:bookmarkStart w:id="37" w:name="n136"/>
            <w:bookmarkEnd w:id="37"/>
            <w:r w:rsidRPr="00FC64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FC64A0">
                <w:rPr>
                  <w:rStyle w:val="aa"/>
                  <w:color w:val="auto"/>
                </w:rPr>
                <w:t>абзацом другим</w:t>
              </w:r>
            </w:hyperlink>
            <w:r w:rsidRPr="00FC64A0">
              <w:t> частини п’ятнадцятої статті 29 Закону;</w:t>
            </w:r>
          </w:p>
          <w:p w14:paraId="2891AA54" w14:textId="77777777" w:rsidR="00BC6600" w:rsidRPr="00FC64A0" w:rsidRDefault="00BC6600" w:rsidP="00BC6600">
            <w:pPr>
              <w:pStyle w:val="affa"/>
            </w:pPr>
            <w:bookmarkStart w:id="38" w:name="n137"/>
            <w:bookmarkEnd w:id="38"/>
            <w:r w:rsidRPr="00FC64A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400EFD" w14:textId="77777777" w:rsidR="00BC6600" w:rsidRPr="00FC64A0" w:rsidRDefault="00BC6600" w:rsidP="00BC6600">
            <w:pPr>
              <w:pStyle w:val="affa"/>
            </w:pPr>
            <w:bookmarkStart w:id="39" w:name="n138"/>
            <w:bookmarkEnd w:id="39"/>
            <w:r w:rsidRPr="00FC64A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8BE745" w14:textId="77777777" w:rsidR="00BC6600" w:rsidRPr="00FC64A0" w:rsidRDefault="00BC6600" w:rsidP="00BC6600">
            <w:pPr>
              <w:pStyle w:val="affa"/>
            </w:pPr>
            <w:bookmarkStart w:id="40" w:name="n139"/>
            <w:bookmarkEnd w:id="40"/>
            <w:r w:rsidRPr="00FC64A0">
              <w:t>не надав обґрунтування аномально низької ціни тендерної пропозиції протягом строку, визначеного в </w:t>
            </w:r>
            <w:hyperlink r:id="rId30" w:anchor="n1543" w:tgtFrame="_blank" w:history="1">
              <w:r w:rsidRPr="00FC64A0">
                <w:rPr>
                  <w:rStyle w:val="aa"/>
                  <w:color w:val="auto"/>
                </w:rPr>
                <w:t>частині чотирнадцятій</w:t>
              </w:r>
            </w:hyperlink>
            <w:r w:rsidRPr="00FC64A0">
              <w:t> статті 29 Закону;</w:t>
            </w:r>
          </w:p>
          <w:p w14:paraId="6534451D" w14:textId="77777777" w:rsidR="00BC6600" w:rsidRPr="00FC64A0" w:rsidRDefault="00BC6600" w:rsidP="00BC6600">
            <w:pPr>
              <w:pStyle w:val="affa"/>
            </w:pPr>
            <w:bookmarkStart w:id="41" w:name="n140"/>
            <w:bookmarkEnd w:id="41"/>
            <w:r w:rsidRPr="00FC64A0">
              <w:t>визначив конфіденційною інформацію, що не може бути визначена як конфіденційна відповідно до вимог </w:t>
            </w:r>
            <w:hyperlink r:id="rId31" w:anchor="n1496" w:tgtFrame="_blank" w:history="1">
              <w:r w:rsidRPr="00FC64A0">
                <w:rPr>
                  <w:rStyle w:val="aa"/>
                  <w:color w:val="auto"/>
                </w:rPr>
                <w:t>частини другої</w:t>
              </w:r>
            </w:hyperlink>
            <w:r w:rsidRPr="00FC64A0">
              <w:t> статті 28 Закону;</w:t>
            </w:r>
          </w:p>
          <w:p w14:paraId="214C5DE7" w14:textId="77777777" w:rsidR="00BC6600" w:rsidRPr="00FC64A0" w:rsidRDefault="00BC6600" w:rsidP="00BC6600">
            <w:pPr>
              <w:pStyle w:val="affa"/>
            </w:pPr>
            <w:bookmarkStart w:id="42" w:name="n141"/>
            <w:bookmarkEnd w:id="42"/>
            <w:r w:rsidRPr="00FC64A0">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BB1DC5" w14:textId="77777777" w:rsidR="00BC6600" w:rsidRPr="00FC64A0" w:rsidRDefault="00BC6600" w:rsidP="00BC6600">
            <w:pPr>
              <w:pStyle w:val="affa"/>
              <w:rPr>
                <w:b/>
                <w:bCs/>
              </w:rPr>
            </w:pPr>
            <w:bookmarkStart w:id="43" w:name="n142"/>
            <w:bookmarkEnd w:id="43"/>
            <w:r w:rsidRPr="00FC64A0">
              <w:t xml:space="preserve">2) </w:t>
            </w:r>
            <w:r w:rsidRPr="00FC64A0">
              <w:rPr>
                <w:b/>
                <w:bCs/>
              </w:rPr>
              <w:t>тендерна пропозиція:</w:t>
            </w:r>
          </w:p>
          <w:p w14:paraId="6A71C08B" w14:textId="77777777" w:rsidR="00BC6600" w:rsidRPr="00FC64A0" w:rsidRDefault="00BC6600" w:rsidP="00BC6600">
            <w:pPr>
              <w:pStyle w:val="affa"/>
            </w:pPr>
            <w:bookmarkStart w:id="44" w:name="n143"/>
            <w:bookmarkEnd w:id="44"/>
            <w:r w:rsidRPr="00FC64A0">
              <w:t>не відповідає умовам технічної специфікації та іншим вимогам щодо предмета закупівлі тендерної документації;</w:t>
            </w:r>
          </w:p>
          <w:p w14:paraId="28F47442" w14:textId="77777777" w:rsidR="00BC6600" w:rsidRPr="00FC64A0" w:rsidRDefault="00BC6600" w:rsidP="00BC6600">
            <w:pPr>
              <w:pStyle w:val="affa"/>
            </w:pPr>
            <w:bookmarkStart w:id="45" w:name="n144"/>
            <w:bookmarkEnd w:id="45"/>
            <w:r w:rsidRPr="00FC64A0">
              <w:t>викладена іншою мовою (мовами), ніж мова (мови), що передбачена тендерною документацією;</w:t>
            </w:r>
          </w:p>
          <w:p w14:paraId="451CC0B3" w14:textId="77777777" w:rsidR="00BC6600" w:rsidRPr="00FC64A0" w:rsidRDefault="00BC6600" w:rsidP="00BC6600">
            <w:pPr>
              <w:pStyle w:val="affa"/>
            </w:pPr>
            <w:bookmarkStart w:id="46" w:name="n145"/>
            <w:bookmarkEnd w:id="46"/>
            <w:r w:rsidRPr="00FC64A0">
              <w:t>є такою, строк дії якої закінчився;</w:t>
            </w:r>
          </w:p>
          <w:p w14:paraId="7B1959C2" w14:textId="77777777" w:rsidR="00BC6600" w:rsidRPr="00FC64A0" w:rsidRDefault="00BC6600" w:rsidP="00BC6600">
            <w:pPr>
              <w:pStyle w:val="affa"/>
            </w:pPr>
            <w:bookmarkStart w:id="47" w:name="n146"/>
            <w:bookmarkEnd w:id="47"/>
            <w:r w:rsidRPr="00FC64A0">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FC64A0">
              <w:lastRenderedPageBreak/>
              <w:t>перевищення є більшим, ніж зазначений замовником в тендерній документації;</w:t>
            </w:r>
          </w:p>
          <w:p w14:paraId="1695534D" w14:textId="77777777" w:rsidR="00BC6600" w:rsidRPr="00FC64A0" w:rsidRDefault="00BC6600" w:rsidP="00BC6600">
            <w:pPr>
              <w:pStyle w:val="affa"/>
            </w:pPr>
            <w:bookmarkStart w:id="48" w:name="n147"/>
            <w:bookmarkEnd w:id="48"/>
            <w:r w:rsidRPr="00FC64A0">
              <w:t>не відповідає вимогам, установленим у тендерній документації відповідно до </w:t>
            </w:r>
            <w:hyperlink r:id="rId32" w:anchor="n1422" w:tgtFrame="_blank" w:history="1">
              <w:r w:rsidRPr="00FC64A0">
                <w:rPr>
                  <w:rStyle w:val="aa"/>
                  <w:color w:val="auto"/>
                </w:rPr>
                <w:t>абзацу першого</w:t>
              </w:r>
            </w:hyperlink>
            <w:r w:rsidRPr="00FC64A0">
              <w:t> частини третьої статті 22 Закону;</w:t>
            </w:r>
          </w:p>
          <w:p w14:paraId="79A97322" w14:textId="77777777" w:rsidR="00BC6600" w:rsidRPr="00FC64A0" w:rsidRDefault="00BC6600" w:rsidP="00BC6600">
            <w:pPr>
              <w:pStyle w:val="affa"/>
            </w:pPr>
            <w:bookmarkStart w:id="49" w:name="n148"/>
            <w:bookmarkEnd w:id="49"/>
            <w:r w:rsidRPr="00FC64A0">
              <w:t>3</w:t>
            </w:r>
            <w:r w:rsidRPr="00FC64A0">
              <w:rPr>
                <w:b/>
                <w:bCs/>
              </w:rPr>
              <w:t>) переможець процедури закупівлі:</w:t>
            </w:r>
          </w:p>
          <w:p w14:paraId="74B2C819" w14:textId="77777777" w:rsidR="00BC6600" w:rsidRPr="00FC64A0" w:rsidRDefault="00BC6600" w:rsidP="00BC6600">
            <w:pPr>
              <w:pStyle w:val="affa"/>
            </w:pPr>
            <w:bookmarkStart w:id="50" w:name="n149"/>
            <w:bookmarkEnd w:id="50"/>
            <w:r w:rsidRPr="00FC64A0">
              <w:t>відмовився від підписання договору про закупівлю відповідно до вимог тендерної документації або укладення договору про закупівлю;</w:t>
            </w:r>
          </w:p>
          <w:p w14:paraId="09B364E4" w14:textId="77777777" w:rsidR="00BC6600" w:rsidRPr="00FC64A0" w:rsidRDefault="00BC6600" w:rsidP="00BC6600">
            <w:pPr>
              <w:pStyle w:val="affa"/>
            </w:pPr>
            <w:bookmarkStart w:id="51" w:name="n150"/>
            <w:bookmarkEnd w:id="51"/>
            <w:r w:rsidRPr="00FC64A0">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FC64A0">
                <w:rPr>
                  <w:rStyle w:val="aa"/>
                  <w:color w:val="auto"/>
                </w:rPr>
                <w:t>статтею 17</w:t>
              </w:r>
            </w:hyperlink>
            <w:r w:rsidRPr="00FC64A0">
              <w:t> Закону, з урахуванням </w:t>
            </w:r>
            <w:hyperlink r:id="rId34" w:anchor="n159" w:history="1">
              <w:r w:rsidRPr="00FC64A0">
                <w:rPr>
                  <w:rStyle w:val="aa"/>
                  <w:color w:val="auto"/>
                </w:rPr>
                <w:t>пункту 44</w:t>
              </w:r>
            </w:hyperlink>
            <w:r w:rsidRPr="00FC64A0">
              <w:t> цих особливостей;</w:t>
            </w:r>
          </w:p>
          <w:p w14:paraId="42323168" w14:textId="77777777" w:rsidR="00BC6600" w:rsidRPr="00FC64A0" w:rsidRDefault="00BC6600" w:rsidP="00BC6600">
            <w:pPr>
              <w:pStyle w:val="affa"/>
            </w:pPr>
            <w:bookmarkStart w:id="52" w:name="n151"/>
            <w:bookmarkEnd w:id="52"/>
            <w:r w:rsidRPr="00FC64A0">
              <w:t>не надав копію ліцензії або документа дозвільного характеру (у разі їх наявності) відповідно до </w:t>
            </w:r>
            <w:hyperlink r:id="rId35" w:anchor="n1762" w:tgtFrame="_blank" w:history="1">
              <w:r w:rsidRPr="00FC64A0">
                <w:rPr>
                  <w:rStyle w:val="aa"/>
                  <w:color w:val="auto"/>
                </w:rPr>
                <w:t>частини другої</w:t>
              </w:r>
            </w:hyperlink>
            <w:r w:rsidRPr="00FC64A0">
              <w:t> статті 41 Закону;</w:t>
            </w:r>
          </w:p>
          <w:p w14:paraId="1A9E2D90" w14:textId="77777777" w:rsidR="00BC6600" w:rsidRPr="00FC64A0" w:rsidRDefault="00BC6600" w:rsidP="00BC6600">
            <w:pPr>
              <w:pStyle w:val="affa"/>
            </w:pPr>
            <w:bookmarkStart w:id="53" w:name="n152"/>
            <w:bookmarkEnd w:id="53"/>
            <w:r w:rsidRPr="00FC64A0">
              <w:t>не надав забезпечення виконання договору про закупівлю, якщо таке забезпечення вимагалося замовником;</w:t>
            </w:r>
          </w:p>
          <w:p w14:paraId="4146AB6E" w14:textId="3AF77D41" w:rsidR="00BC6600" w:rsidRPr="00FC64A0" w:rsidRDefault="00BC6600" w:rsidP="00BC6600">
            <w:pPr>
              <w:pStyle w:val="affa"/>
            </w:pPr>
            <w:bookmarkStart w:id="54" w:name="n153"/>
            <w:bookmarkEnd w:id="54"/>
            <w:r w:rsidRPr="00FC64A0">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FC64A0">
                <w:rPr>
                  <w:rStyle w:val="aa"/>
                  <w:color w:val="auto"/>
                </w:rPr>
                <w:t>абзацом другим</w:t>
              </w:r>
            </w:hyperlink>
            <w:r w:rsidRPr="00FC64A0">
              <w:t> частини п’ятнадцятої статті 29 Закону.</w:t>
            </w:r>
          </w:p>
          <w:p w14:paraId="438CEA6C" w14:textId="728E6F2F" w:rsidR="00BC6600" w:rsidRPr="00FC64A0" w:rsidRDefault="00BC6600" w:rsidP="00BC6600">
            <w:pPr>
              <w:pStyle w:val="affa"/>
            </w:pPr>
          </w:p>
          <w:p w14:paraId="5AD7E520" w14:textId="77777777" w:rsidR="00804237" w:rsidRPr="00FC64A0" w:rsidRDefault="00804237" w:rsidP="00804237">
            <w:pPr>
              <w:pStyle w:val="affa"/>
              <w:rPr>
                <w:b/>
                <w:bCs/>
                <w:i/>
                <w:iCs/>
                <w:lang w:eastAsia="uk-UA"/>
              </w:rPr>
            </w:pPr>
            <w:r w:rsidRPr="00FC64A0">
              <w:rPr>
                <w:b/>
                <w:bCs/>
                <w:i/>
                <w:iCs/>
                <w:lang w:eastAsia="uk-UA"/>
              </w:rPr>
              <w:t>Замовник може відхилити тендерну пропозицію із зазначенням аргументації в електронній системі закупівель у разі, коли:</w:t>
            </w:r>
          </w:p>
          <w:p w14:paraId="277DD02C" w14:textId="77777777" w:rsidR="00804237" w:rsidRPr="00FC64A0" w:rsidRDefault="00804237" w:rsidP="00804237">
            <w:pPr>
              <w:pStyle w:val="affa"/>
              <w:rPr>
                <w:lang w:eastAsia="uk-UA"/>
              </w:rPr>
            </w:pPr>
            <w:bookmarkStart w:id="55" w:name="n155"/>
            <w:bookmarkEnd w:id="55"/>
            <w:r w:rsidRPr="00FC64A0">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7EFC5" w14:textId="77777777" w:rsidR="00804237" w:rsidRPr="00FC64A0" w:rsidRDefault="00804237" w:rsidP="00804237">
            <w:pPr>
              <w:pStyle w:val="affa"/>
              <w:rPr>
                <w:lang w:eastAsia="uk-UA"/>
              </w:rPr>
            </w:pPr>
            <w:bookmarkStart w:id="56" w:name="n156"/>
            <w:bookmarkEnd w:id="56"/>
            <w:r w:rsidRPr="00FC64A0">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C54C2" w14:textId="77777777" w:rsidR="00804237" w:rsidRPr="00FC64A0" w:rsidRDefault="00804237" w:rsidP="00BC6600">
            <w:pPr>
              <w:pStyle w:val="affa"/>
            </w:pPr>
          </w:p>
          <w:p w14:paraId="619E399D" w14:textId="2F27E6C1" w:rsidR="0032455B" w:rsidRPr="00FC64A0" w:rsidRDefault="000C6942" w:rsidP="0032455B">
            <w:pPr>
              <w:pStyle w:val="affa"/>
              <w:ind w:firstLine="408"/>
              <w:rPr>
                <w:shd w:val="clear" w:color="auto" w:fill="FFFFFF"/>
              </w:rPr>
            </w:pPr>
            <w:r w:rsidRPr="00FC64A0">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7" w:anchor="n1039" w:tgtFrame="_blank" w:history="1">
              <w:r w:rsidRPr="00FC64A0">
                <w:rPr>
                  <w:rStyle w:val="aa"/>
                  <w:color w:val="auto"/>
                  <w:shd w:val="clear" w:color="auto" w:fill="FFFFFF"/>
                </w:rPr>
                <w:t>статті 10</w:t>
              </w:r>
            </w:hyperlink>
            <w:r w:rsidRPr="00FC64A0">
              <w:rPr>
                <w:shd w:val="clear" w:color="auto" w:fill="FFFFFF"/>
              </w:rPr>
              <w:t> Закону.</w:t>
            </w:r>
          </w:p>
          <w:p w14:paraId="28CC4305" w14:textId="3F33E68A" w:rsidR="000C6942" w:rsidRPr="00FC64A0" w:rsidRDefault="000C6942" w:rsidP="0032455B">
            <w:pPr>
              <w:pStyle w:val="affa"/>
              <w:ind w:firstLine="408"/>
              <w:rPr>
                <w:shd w:val="clear" w:color="auto" w:fill="FFFFFF"/>
              </w:rPr>
            </w:pPr>
          </w:p>
          <w:p w14:paraId="45202029" w14:textId="644C5097" w:rsidR="000C6942" w:rsidRPr="00FC64A0" w:rsidRDefault="008024B5" w:rsidP="0032455B">
            <w:pPr>
              <w:pStyle w:val="affa"/>
              <w:ind w:firstLine="408"/>
            </w:pPr>
            <w:r w:rsidRPr="00FC64A0">
              <w:rPr>
                <w:b/>
                <w:bCs/>
                <w:i/>
                <w:iCs/>
                <w:shd w:val="clear" w:color="auto" w:fill="FFFFFF"/>
              </w:rPr>
              <w:t>Замовник зобов’язаний відхилити тендерну пропозицію переможця процедури закупівлі в разі, коли</w:t>
            </w:r>
            <w:r w:rsidRPr="00FC64A0">
              <w:rPr>
                <w:shd w:val="clear" w:color="auto" w:fill="FFFFFF"/>
              </w:rPr>
              <w:t xml:space="preserve"> наявні підстави, визначені </w:t>
            </w:r>
            <w:hyperlink r:id="rId38" w:anchor="n1261" w:tgtFrame="_blank" w:history="1">
              <w:r w:rsidRPr="00FC64A0">
                <w:rPr>
                  <w:rStyle w:val="aa"/>
                  <w:color w:val="auto"/>
                  <w:shd w:val="clear" w:color="auto" w:fill="FFFFFF"/>
                </w:rPr>
                <w:t>статтею 17</w:t>
              </w:r>
            </w:hyperlink>
            <w:r w:rsidRPr="00FC64A0">
              <w:rPr>
                <w:shd w:val="clear" w:color="auto" w:fill="FFFFFF"/>
              </w:rPr>
              <w:t> Закону (крім </w:t>
            </w:r>
            <w:hyperlink r:id="rId39" w:anchor="n1275" w:tgtFrame="_blank" w:history="1">
              <w:r w:rsidRPr="00FC64A0">
                <w:rPr>
                  <w:rStyle w:val="aa"/>
                  <w:color w:val="auto"/>
                  <w:shd w:val="clear" w:color="auto" w:fill="FFFFFF"/>
                </w:rPr>
                <w:t>пункту 13</w:t>
              </w:r>
            </w:hyperlink>
            <w:r w:rsidRPr="00FC64A0">
              <w:rPr>
                <w:shd w:val="clear" w:color="auto" w:fill="FFFFFF"/>
              </w:rPr>
              <w:t> частини першої статті 17 Закону).</w:t>
            </w:r>
          </w:p>
          <w:p w14:paraId="469441D4" w14:textId="77777777" w:rsidR="0032455B" w:rsidRPr="00FC64A0" w:rsidRDefault="0032455B" w:rsidP="0032455B">
            <w:pPr>
              <w:pStyle w:val="affa"/>
              <w:ind w:firstLine="408"/>
              <w:rPr>
                <w:lang w:eastAsia="ru-RU"/>
              </w:rPr>
            </w:pPr>
            <w:r w:rsidRPr="00FC64A0">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C64A0">
              <w:t>Законом</w:t>
            </w:r>
            <w:r w:rsidRPr="00FC64A0">
              <w:rPr>
                <w:lang w:eastAsia="ru-RU"/>
              </w:rPr>
              <w:t>.</w:t>
            </w:r>
          </w:p>
          <w:p w14:paraId="7192D3FE" w14:textId="7345BEDF" w:rsidR="005D7588" w:rsidRPr="00FC64A0" w:rsidRDefault="005D7588" w:rsidP="0032455B">
            <w:pPr>
              <w:pStyle w:val="affa"/>
              <w:ind w:firstLine="408"/>
            </w:pPr>
            <w:r w:rsidRPr="00FC64A0">
              <w:rPr>
                <w:shd w:val="clear" w:color="auto"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w:t>
            </w:r>
            <w:r w:rsidRPr="00FC64A0">
              <w:rPr>
                <w:shd w:val="clear" w:color="auto" w:fill="FFFFFF"/>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40" w:anchor="n146" w:history="1">
              <w:r w:rsidRPr="00FC64A0">
                <w:rPr>
                  <w:rStyle w:val="aa"/>
                  <w:color w:val="auto"/>
                  <w:shd w:val="clear" w:color="auto" w:fill="FFFFFF"/>
                </w:rPr>
                <w:t>абзацу тринадцятого</w:t>
              </w:r>
            </w:hyperlink>
            <w:r w:rsidRPr="00FC64A0">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FC64A0" w:rsidRDefault="00720B2C" w:rsidP="00720B2C">
            <w:pPr>
              <w:snapToGrid w:val="0"/>
              <w:rPr>
                <w:rFonts w:ascii="Nimbus Roman No9 L" w:hAnsi="Nimbus Roman No9 L" w:cs="Nimbus Roman No9 L"/>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57" w:name="n174"/>
            <w:bookmarkEnd w:id="57"/>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58" w:name="n175"/>
            <w:bookmarkEnd w:id="58"/>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59" w:name="n176"/>
            <w:bookmarkEnd w:id="59"/>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7"/>
            <w:bookmarkEnd w:id="60"/>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8"/>
            <w:bookmarkEnd w:id="61"/>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2" w:name="n179"/>
            <w:bookmarkEnd w:id="62"/>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80"/>
            <w:bookmarkEnd w:id="63"/>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4" w:name="n181"/>
            <w:bookmarkEnd w:id="64"/>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5" w:name="n182"/>
            <w:bookmarkEnd w:id="65"/>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41">
              <w:r w:rsidRPr="00235E84">
                <w:t>Цивільного кодексу України</w:t>
              </w:r>
            </w:hyperlink>
            <w:r w:rsidRPr="00235E84">
              <w:t xml:space="preserve"> та</w:t>
            </w:r>
            <w:hyperlink r:id="rId42">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r w:rsidRPr="00235E8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6" w:name="n1769"/>
            <w:bookmarkEnd w:id="66"/>
            <w:r>
              <w:rPr>
                <w:color w:val="333333"/>
              </w:rPr>
              <w:t>1) зменшення обсягів закупівлі, зокрема з урахуванням фактичного обсягу видатків замовника;</w:t>
            </w:r>
          </w:p>
          <w:p w14:paraId="4F890500" w14:textId="77777777" w:rsidR="00C601BA" w:rsidRDefault="00C601BA" w:rsidP="00C601BA">
            <w:pPr>
              <w:pStyle w:val="rvps2"/>
              <w:shd w:val="clear" w:color="auto" w:fill="FFFFFF"/>
              <w:spacing w:before="0" w:after="150"/>
              <w:ind w:firstLine="450"/>
              <w:jc w:val="both"/>
              <w:rPr>
                <w:color w:val="333333"/>
              </w:rPr>
            </w:pPr>
            <w:bookmarkStart w:id="67" w:name="n75"/>
            <w:bookmarkEnd w:id="6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91AF2F" w14:textId="77777777" w:rsidR="00C601BA" w:rsidRDefault="00C601BA" w:rsidP="00C601BA">
            <w:pPr>
              <w:pStyle w:val="rvps2"/>
              <w:shd w:val="clear" w:color="auto" w:fill="FFFFFF"/>
              <w:spacing w:before="0" w:after="150"/>
              <w:ind w:firstLine="450"/>
              <w:jc w:val="both"/>
              <w:rPr>
                <w:color w:val="333333"/>
              </w:rPr>
            </w:pPr>
            <w:bookmarkStart w:id="68" w:name="n76"/>
            <w:bookmarkEnd w:id="6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2DFA8447" w14:textId="77777777" w:rsidR="00C601BA" w:rsidRDefault="00C601BA" w:rsidP="00C601BA">
            <w:pPr>
              <w:pStyle w:val="rvps2"/>
              <w:shd w:val="clear" w:color="auto" w:fill="FFFFFF"/>
              <w:spacing w:before="0" w:after="150"/>
              <w:ind w:firstLine="450"/>
              <w:jc w:val="both"/>
              <w:rPr>
                <w:color w:val="333333"/>
              </w:rPr>
            </w:pPr>
            <w:bookmarkStart w:id="69" w:name="n77"/>
            <w:bookmarkEnd w:id="69"/>
            <w:r>
              <w:rPr>
                <w:color w:val="333333"/>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Pr>
                <w:color w:val="333333"/>
              </w:rPr>
              <w:lastRenderedPageBreak/>
              <w:t>що такі зміни не призведуть до збільшення суми, визначеної в договорі про закупівлю;</w:t>
            </w:r>
          </w:p>
          <w:p w14:paraId="7EB16856" w14:textId="77777777" w:rsidR="00C601BA" w:rsidRDefault="00C601BA" w:rsidP="00C601BA">
            <w:pPr>
              <w:pStyle w:val="rvps2"/>
              <w:shd w:val="clear" w:color="auto" w:fill="FFFFFF"/>
              <w:spacing w:before="0" w:after="150"/>
              <w:ind w:firstLine="450"/>
              <w:jc w:val="both"/>
              <w:rPr>
                <w:color w:val="333333"/>
              </w:rPr>
            </w:pPr>
            <w:bookmarkStart w:id="70" w:name="n78"/>
            <w:bookmarkEnd w:id="70"/>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6FCB58F" w14:textId="77777777" w:rsidR="00C601BA" w:rsidRDefault="00C601BA" w:rsidP="00C601BA">
            <w:pPr>
              <w:pStyle w:val="rvps2"/>
              <w:shd w:val="clear" w:color="auto" w:fill="FFFFFF"/>
              <w:spacing w:before="0" w:after="150"/>
              <w:ind w:firstLine="450"/>
              <w:jc w:val="both"/>
              <w:rPr>
                <w:color w:val="333333"/>
              </w:rPr>
            </w:pPr>
            <w:bookmarkStart w:id="71" w:name="n79"/>
            <w:bookmarkEnd w:id="7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CE14C7" w14:textId="77777777" w:rsidR="00C601BA" w:rsidRDefault="00C601BA" w:rsidP="00C601BA">
            <w:pPr>
              <w:pStyle w:val="rvps2"/>
              <w:shd w:val="clear" w:color="auto" w:fill="FFFFFF"/>
              <w:spacing w:before="0" w:after="150"/>
              <w:ind w:firstLine="450"/>
              <w:jc w:val="both"/>
              <w:rPr>
                <w:color w:val="333333"/>
              </w:rPr>
            </w:pPr>
            <w:bookmarkStart w:id="72" w:name="n80"/>
            <w:bookmarkEnd w:id="72"/>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FFEA71" w14:textId="77777777" w:rsidR="00C601BA" w:rsidRDefault="00C601BA" w:rsidP="00C601BA">
            <w:pPr>
              <w:pStyle w:val="rvps2"/>
              <w:shd w:val="clear" w:color="auto" w:fill="FFFFFF"/>
              <w:spacing w:before="0" w:after="150"/>
              <w:ind w:firstLine="450"/>
              <w:jc w:val="both"/>
              <w:rPr>
                <w:color w:val="333333"/>
              </w:rPr>
            </w:pPr>
            <w:bookmarkStart w:id="73" w:name="n81"/>
            <w:bookmarkEnd w:id="73"/>
            <w:r>
              <w:rPr>
                <w:color w:val="333333"/>
              </w:rPr>
              <w:t>8) зміни умов у зв’язку із застосуванням положень </w:t>
            </w:r>
            <w:hyperlink r:id="rId43" w:anchor="n1778" w:tgtFrame="_blank" w:history="1">
              <w:r>
                <w:rPr>
                  <w:rStyle w:val="aa"/>
                  <w:color w:val="000099"/>
                </w:rPr>
                <w:t>частини шостої</w:t>
              </w:r>
            </w:hyperlink>
            <w:r>
              <w:rPr>
                <w:color w:val="333333"/>
              </w:rPr>
              <w:t> статті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4" w:name="n82"/>
            <w:bookmarkEnd w:id="74"/>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4" w:tgtFrame="_blank" w:history="1">
              <w:r>
                <w:rPr>
                  <w:rStyle w:val="aa"/>
                  <w:color w:val="000099"/>
                </w:rPr>
                <w:t>Закону</w:t>
              </w:r>
            </w:hyperlink>
            <w:r>
              <w:rPr>
                <w:color w:val="333333"/>
              </w:rPr>
              <w:t> з урахуванням цих особливостей.</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314949" w:rsidRDefault="00242E2F" w:rsidP="00242E2F">
            <w:pPr>
              <w:pStyle w:val="affa"/>
              <w:rPr>
                <w:i/>
              </w:rPr>
            </w:pPr>
            <w:r w:rsidRPr="00235E84">
              <w:rPr>
                <w:shd w:val="clear" w:color="auto" w:fill="FFFFFF"/>
              </w:rPr>
              <w:t xml:space="preserve">- </w:t>
            </w:r>
            <w:r w:rsidRPr="00314949">
              <w:rPr>
                <w:shd w:val="clear" w:color="auto" w:fill="FFFFFF"/>
              </w:rPr>
              <w:t>предмет договору</w:t>
            </w:r>
            <w:r w:rsidR="00235E84" w:rsidRPr="00314949">
              <w:rPr>
                <w:shd w:val="clear" w:color="auto" w:fill="FFFFFF"/>
              </w:rPr>
              <w:t>.</w:t>
            </w:r>
          </w:p>
          <w:p w14:paraId="4E3C8FA4" w14:textId="383F77AC" w:rsidR="00242E2F" w:rsidRPr="00314949" w:rsidRDefault="00242E2F" w:rsidP="00242E2F">
            <w:pPr>
              <w:pStyle w:val="affa"/>
              <w:rPr>
                <w:iCs/>
              </w:rPr>
            </w:pPr>
            <w:r w:rsidRPr="00314949">
              <w:rPr>
                <w:iCs/>
              </w:rPr>
              <w:t xml:space="preserve">- кількість: </w:t>
            </w:r>
            <w:r w:rsidR="00314949" w:rsidRPr="00314949">
              <w:rPr>
                <w:iCs/>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28C08E93" w14:textId="5C8924B5" w:rsidR="009972F5" w:rsidRPr="009972F5" w:rsidRDefault="009972F5" w:rsidP="009972F5">
            <w:pPr>
              <w:shd w:val="clear" w:color="auto" w:fill="FFFFFF" w:themeFill="background1"/>
              <w:ind w:firstLine="124"/>
              <w:jc w:val="both"/>
              <w:rPr>
                <w:lang w:val="uk-UA"/>
              </w:rPr>
            </w:pPr>
            <w:r w:rsidRPr="009972F5">
              <w:rPr>
                <w:lang w:val="uk-UA"/>
              </w:rPr>
              <w:t xml:space="preserve">Замовник вимагає надання забезпечення виконання договору про закупівлю переможцем відкритих торгів у вигляді банківської гарантії у розмірі </w:t>
            </w:r>
            <w:r w:rsidR="003C64D3">
              <w:t xml:space="preserve">1 </w:t>
            </w:r>
            <w:r w:rsidRPr="009972F5">
              <w:rPr>
                <w:lang w:val="uk-UA"/>
              </w:rPr>
              <w:t>% від загальної вартості договору про закупівлю.</w:t>
            </w:r>
          </w:p>
          <w:p w14:paraId="5E228F22" w14:textId="4173FBEB" w:rsidR="00462F58" w:rsidRPr="00AE1AAA" w:rsidRDefault="00462F58" w:rsidP="00462F58">
            <w:pPr>
              <w:widowControl w:val="0"/>
              <w:tabs>
                <w:tab w:val="left" w:pos="722"/>
              </w:tabs>
              <w:ind w:firstLine="340"/>
              <w:contextualSpacing/>
              <w:jc w:val="both"/>
            </w:pPr>
            <w:r w:rsidRPr="00AE1AAA">
              <w:t xml:space="preserve">Банківська гарантія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w:t>
            </w:r>
            <w:r w:rsidRPr="00AE1AAA">
              <w:lastRenderedPageBreak/>
              <w:t>15.12.2004 № 639 (зі змінами) та такої, що не суперечить вимогам Замовника, викладеним у цій документації.</w:t>
            </w:r>
          </w:p>
          <w:p w14:paraId="6EDA0302" w14:textId="77777777" w:rsidR="00462F58" w:rsidRPr="00AE1AAA" w:rsidRDefault="00462F58" w:rsidP="00462F58">
            <w:pPr>
              <w:widowControl w:val="0"/>
              <w:tabs>
                <w:tab w:val="left" w:pos="722"/>
              </w:tabs>
              <w:ind w:firstLine="340"/>
              <w:contextualSpacing/>
              <w:jc w:val="both"/>
            </w:pPr>
            <w:r w:rsidRPr="00AE1AAA">
              <w:t>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 Крім того, банківська гарантія повинна бути безвідкличною на весь період дії договору.</w:t>
            </w:r>
          </w:p>
          <w:p w14:paraId="3CB26700" w14:textId="77777777" w:rsidR="00462F58" w:rsidRPr="006404BA" w:rsidRDefault="00462F58" w:rsidP="00462F58">
            <w:pPr>
              <w:widowControl w:val="0"/>
              <w:tabs>
                <w:tab w:val="left" w:pos="722"/>
              </w:tabs>
              <w:ind w:firstLine="340"/>
              <w:contextualSpacing/>
              <w:jc w:val="both"/>
            </w:pPr>
            <w:r w:rsidRPr="006404BA">
              <w:t>Банківська гарантія повинна свідчити про обов’язок гаранта виплатити Замовнику суму забезпечення виконання договору про  закупівлю у випадку неналежного виконання умов договору.</w:t>
            </w:r>
          </w:p>
          <w:p w14:paraId="23264DD5" w14:textId="77777777" w:rsidR="00462F58" w:rsidRPr="006404BA" w:rsidRDefault="00462F58" w:rsidP="00462F58">
            <w:pPr>
              <w:widowControl w:val="0"/>
              <w:tabs>
                <w:tab w:val="left" w:pos="722"/>
              </w:tabs>
              <w:ind w:firstLine="340"/>
              <w:contextualSpacing/>
              <w:jc w:val="both"/>
            </w:pPr>
            <w:r w:rsidRPr="006404BA">
              <w:t>Банківська гарантія повинна бути видана банком, який має відповідну ліцензію на здійснення банківських послуг та не перебуває у стадії ліквідації.</w:t>
            </w:r>
          </w:p>
          <w:p w14:paraId="0F84AE43" w14:textId="77777777" w:rsidR="00462F58" w:rsidRPr="006404BA" w:rsidRDefault="00462F58" w:rsidP="00462F58">
            <w:pPr>
              <w:widowControl w:val="0"/>
              <w:tabs>
                <w:tab w:val="left" w:pos="722"/>
              </w:tabs>
              <w:ind w:firstLine="340"/>
              <w:contextualSpacing/>
              <w:jc w:val="both"/>
              <w:rPr>
                <w:i/>
                <w:iCs/>
              </w:rPr>
            </w:pPr>
            <w:r w:rsidRPr="006404BA">
              <w:rPr>
                <w:i/>
                <w:iCs/>
              </w:rPr>
              <w:t xml:space="preserve">Реквізити Замовника: </w:t>
            </w:r>
          </w:p>
          <w:p w14:paraId="701DF78F" w14:textId="77777777" w:rsidR="00462F58" w:rsidRPr="006404BA" w:rsidRDefault="00462F58" w:rsidP="00462F58">
            <w:pPr>
              <w:pStyle w:val="aff8"/>
              <w:ind w:left="0"/>
              <w:jc w:val="both"/>
              <w:rPr>
                <w:lang w:val="uk-UA"/>
              </w:rPr>
            </w:pPr>
            <w:r w:rsidRPr="006404BA">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48AF2422" w14:textId="77777777" w:rsidR="00462F58" w:rsidRPr="006404BA" w:rsidRDefault="00462F58" w:rsidP="00462F58">
            <w:pPr>
              <w:rPr>
                <w:lang w:val="uk-UA"/>
              </w:rPr>
            </w:pPr>
            <w:r w:rsidRPr="006404BA">
              <w:rPr>
                <w:b/>
                <w:bCs/>
                <w:lang w:val="uk-UA"/>
              </w:rPr>
              <w:t>ДКСУ м. Київ</w:t>
            </w:r>
          </w:p>
          <w:p w14:paraId="0209F782" w14:textId="77777777" w:rsidR="00462F58" w:rsidRPr="006404BA" w:rsidRDefault="00462F58" w:rsidP="00462F58">
            <w:pPr>
              <w:rPr>
                <w:lang w:val="uk-UA"/>
              </w:rPr>
            </w:pPr>
            <w:r w:rsidRPr="006404BA">
              <w:rPr>
                <w:b/>
                <w:bCs/>
                <w:lang w:val="en-US"/>
              </w:rPr>
              <w:t>UA</w:t>
            </w:r>
            <w:r w:rsidRPr="006404BA">
              <w:rPr>
                <w:b/>
                <w:bCs/>
                <w:lang w:val="uk-UA"/>
              </w:rPr>
              <w:t xml:space="preserve">528201720355199000024078418  </w:t>
            </w:r>
          </w:p>
          <w:p w14:paraId="5368F0D2" w14:textId="77777777" w:rsidR="00462F58" w:rsidRPr="006404BA" w:rsidRDefault="00462F58" w:rsidP="00462F58">
            <w:pPr>
              <w:pStyle w:val="affa"/>
            </w:pPr>
            <w:r w:rsidRPr="006404BA">
              <w:rPr>
                <w:b/>
                <w:bCs/>
              </w:rPr>
              <w:t>МФО 820172</w:t>
            </w:r>
          </w:p>
          <w:p w14:paraId="7BEB83C7" w14:textId="77777777" w:rsidR="00462F58" w:rsidRPr="006404BA" w:rsidRDefault="00462F58" w:rsidP="00462F58">
            <w:pPr>
              <w:widowControl w:val="0"/>
              <w:tabs>
                <w:tab w:val="left" w:pos="722"/>
              </w:tabs>
              <w:ind w:firstLine="340"/>
              <w:contextualSpacing/>
              <w:jc w:val="both"/>
              <w:rPr>
                <w:lang w:val="uk-UA"/>
              </w:rPr>
            </w:pPr>
            <w:r w:rsidRPr="006404BA">
              <w:rPr>
                <w:lang w:val="uk-UA"/>
              </w:rPr>
              <w:t>Усі витрати, пов’язані з оформленням забезпечення виконання договору, здійснюються за рахунок коштів Учасника.</w:t>
            </w:r>
          </w:p>
          <w:p w14:paraId="13A64F03" w14:textId="1F3A6207" w:rsidR="00462F58" w:rsidRPr="006404BA" w:rsidRDefault="00462F58" w:rsidP="00462F58">
            <w:pPr>
              <w:widowControl w:val="0"/>
              <w:tabs>
                <w:tab w:val="left" w:pos="722"/>
              </w:tabs>
              <w:ind w:firstLine="340"/>
              <w:contextualSpacing/>
              <w:jc w:val="both"/>
            </w:pPr>
            <w:r w:rsidRPr="006404BA">
              <w:t>Способи повернення учаснику процедури закупівлі наданого забезпечення виконання договору про закупівлю: банківськ</w:t>
            </w:r>
            <w:r w:rsidR="006404BA" w:rsidRPr="006404BA">
              <w:rPr>
                <w:lang w:val="uk-UA"/>
              </w:rPr>
              <w:t>а</w:t>
            </w:r>
            <w:r w:rsidRPr="006404BA">
              <w:t xml:space="preserve"> гаранті</w:t>
            </w:r>
            <w:r w:rsidR="006404BA" w:rsidRPr="006404BA">
              <w:rPr>
                <w:lang w:val="uk-UA"/>
              </w:rPr>
              <w:t>я</w:t>
            </w:r>
            <w:r w:rsidRPr="006404BA">
              <w:t xml:space="preserve"> повертається (особисто в руки уповноваженому представнику учасника або поштою) учаснику за його письмовим зверненням.</w:t>
            </w:r>
          </w:p>
          <w:p w14:paraId="6E31ECE5" w14:textId="77777777" w:rsidR="00462F58" w:rsidRPr="006404BA" w:rsidRDefault="00462F58" w:rsidP="00462F58">
            <w:pPr>
              <w:widowControl w:val="0"/>
              <w:tabs>
                <w:tab w:val="left" w:pos="722"/>
              </w:tabs>
              <w:ind w:firstLine="340"/>
              <w:contextualSpacing/>
              <w:jc w:val="both"/>
            </w:pPr>
            <w:r w:rsidRPr="006404BA">
              <w:t xml:space="preserve">Забезпечення виконання Договору не повертається та підлягає перерахуванню до відповідного бюджету у випадку невиконання договірних зобов’язань. </w:t>
            </w:r>
          </w:p>
          <w:p w14:paraId="0C59FFFC" w14:textId="77777777" w:rsidR="00462F58" w:rsidRPr="006404BA" w:rsidRDefault="00462F58" w:rsidP="00462F58">
            <w:pPr>
              <w:widowControl w:val="0"/>
              <w:tabs>
                <w:tab w:val="left" w:pos="722"/>
              </w:tabs>
              <w:ind w:firstLine="340"/>
              <w:contextualSpacing/>
              <w:jc w:val="both"/>
            </w:pPr>
            <w:r w:rsidRPr="006404BA">
              <w:t>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w:t>
            </w:r>
          </w:p>
          <w:p w14:paraId="73BE2482" w14:textId="77777777" w:rsidR="00462F58" w:rsidRPr="006404BA" w:rsidRDefault="00462F58" w:rsidP="00462F58">
            <w:pPr>
              <w:widowControl w:val="0"/>
              <w:tabs>
                <w:tab w:val="left" w:pos="722"/>
              </w:tabs>
              <w:ind w:firstLine="340"/>
              <w:contextualSpacing/>
              <w:jc w:val="both"/>
            </w:pPr>
            <w:r w:rsidRPr="006404BA">
              <w:t>Замовник повертає забезпечення виконання договору про закупівлю:</w:t>
            </w:r>
          </w:p>
          <w:p w14:paraId="608B97BF" w14:textId="77777777" w:rsidR="00462F58" w:rsidRPr="006404BA" w:rsidRDefault="00462F58" w:rsidP="00462F58">
            <w:pPr>
              <w:widowControl w:val="0"/>
              <w:tabs>
                <w:tab w:val="left" w:pos="722"/>
              </w:tabs>
              <w:ind w:firstLine="340"/>
              <w:contextualSpacing/>
              <w:jc w:val="both"/>
            </w:pPr>
            <w:r w:rsidRPr="006404BA">
              <w:t>1) після виконання переможцем процедури закупівлі  договору про закупівлю;</w:t>
            </w:r>
          </w:p>
          <w:p w14:paraId="6649526D" w14:textId="77777777" w:rsidR="00462F58" w:rsidRPr="006404BA" w:rsidRDefault="00462F58" w:rsidP="00462F58">
            <w:pPr>
              <w:widowControl w:val="0"/>
              <w:tabs>
                <w:tab w:val="left" w:pos="722"/>
              </w:tabs>
              <w:ind w:firstLine="340"/>
              <w:contextualSpacing/>
              <w:jc w:val="both"/>
            </w:pPr>
            <w:r w:rsidRPr="006404BA">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5EC09D9" w14:textId="77777777" w:rsidR="00462F58" w:rsidRPr="006404BA" w:rsidRDefault="00462F58" w:rsidP="00462F58">
            <w:pPr>
              <w:widowControl w:val="0"/>
              <w:tabs>
                <w:tab w:val="left" w:pos="722"/>
              </w:tabs>
              <w:ind w:firstLine="340"/>
              <w:contextualSpacing/>
              <w:jc w:val="both"/>
            </w:pPr>
            <w:r w:rsidRPr="006404BA">
              <w:t>3) у випадках, передбачених статтею 43 Закону;</w:t>
            </w:r>
          </w:p>
          <w:p w14:paraId="6B429309" w14:textId="77777777" w:rsidR="00462F58" w:rsidRPr="006404BA" w:rsidRDefault="00462F58" w:rsidP="00462F58">
            <w:pPr>
              <w:widowControl w:val="0"/>
              <w:tabs>
                <w:tab w:val="left" w:pos="722"/>
              </w:tabs>
              <w:ind w:firstLine="340"/>
              <w:contextualSpacing/>
              <w:jc w:val="both"/>
            </w:pPr>
            <w:r w:rsidRPr="006404BA">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13860576" w14:textId="3319ABBC" w:rsidR="00534C60" w:rsidRPr="00AE1AAA" w:rsidRDefault="00462F58" w:rsidP="00AE1AAA">
            <w:pPr>
              <w:pStyle w:val="affa"/>
              <w:ind w:firstLine="408"/>
            </w:pPr>
            <w:r w:rsidRPr="006404BA">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5"/>
      <w:footerReference w:type="first" r:id="rId46"/>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30D" w14:textId="77777777" w:rsidR="007C6966" w:rsidRDefault="007C6966">
      <w:r>
        <w:separator/>
      </w:r>
    </w:p>
  </w:endnote>
  <w:endnote w:type="continuationSeparator" w:id="0">
    <w:p w14:paraId="51682780" w14:textId="77777777" w:rsidR="007C6966" w:rsidRDefault="007C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997F" w14:textId="77777777" w:rsidR="007C6966" w:rsidRDefault="007C6966">
      <w:r>
        <w:separator/>
      </w:r>
    </w:p>
  </w:footnote>
  <w:footnote w:type="continuationSeparator" w:id="0">
    <w:p w14:paraId="78FB8F36" w14:textId="77777777" w:rsidR="007C6966" w:rsidRDefault="007C6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0"/>
  </w:num>
  <w:num w:numId="7" w16cid:durableId="2038240547">
    <w:abstractNumId w:val="7"/>
  </w:num>
  <w:num w:numId="8" w16cid:durableId="603341472">
    <w:abstractNumId w:val="21"/>
  </w:num>
  <w:num w:numId="9" w16cid:durableId="1835534141">
    <w:abstractNumId w:val="32"/>
  </w:num>
  <w:num w:numId="10" w16cid:durableId="1062338852">
    <w:abstractNumId w:val="24"/>
  </w:num>
  <w:num w:numId="11" w16cid:durableId="136265710">
    <w:abstractNumId w:val="27"/>
  </w:num>
  <w:num w:numId="12" w16cid:durableId="313799926">
    <w:abstractNumId w:val="26"/>
  </w:num>
  <w:num w:numId="13" w16cid:durableId="41953531">
    <w:abstractNumId w:val="31"/>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8"/>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3"/>
  </w:num>
  <w:num w:numId="30" w16cid:durableId="1750615510">
    <w:abstractNumId w:val="14"/>
  </w:num>
  <w:num w:numId="31" w16cid:durableId="163401673">
    <w:abstractNumId w:val="5"/>
  </w:num>
  <w:num w:numId="32" w16cid:durableId="570889738">
    <w:abstractNumId w:val="20"/>
  </w:num>
  <w:num w:numId="33" w16cid:durableId="182063342">
    <w:abstractNumId w:val="34"/>
  </w:num>
  <w:num w:numId="34" w16cid:durableId="1201479792">
    <w:abstractNumId w:val="29"/>
  </w:num>
  <w:num w:numId="35" w16cid:durableId="181018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BCB"/>
    <w:rsid w:val="00032E6B"/>
    <w:rsid w:val="000359F2"/>
    <w:rsid w:val="00037B9C"/>
    <w:rsid w:val="000503CB"/>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14949"/>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3F3551"/>
    <w:rsid w:val="0040124B"/>
    <w:rsid w:val="004029ED"/>
    <w:rsid w:val="0040411F"/>
    <w:rsid w:val="00406061"/>
    <w:rsid w:val="00407DED"/>
    <w:rsid w:val="00414CCF"/>
    <w:rsid w:val="00416369"/>
    <w:rsid w:val="004163DA"/>
    <w:rsid w:val="00423B36"/>
    <w:rsid w:val="00423EEB"/>
    <w:rsid w:val="00432016"/>
    <w:rsid w:val="00432578"/>
    <w:rsid w:val="00433078"/>
    <w:rsid w:val="00437103"/>
    <w:rsid w:val="00450C54"/>
    <w:rsid w:val="00450FFE"/>
    <w:rsid w:val="00454E8E"/>
    <w:rsid w:val="00461672"/>
    <w:rsid w:val="00462F58"/>
    <w:rsid w:val="004667F3"/>
    <w:rsid w:val="004668AA"/>
    <w:rsid w:val="0047195C"/>
    <w:rsid w:val="0047464F"/>
    <w:rsid w:val="00475093"/>
    <w:rsid w:val="004755CC"/>
    <w:rsid w:val="00476250"/>
    <w:rsid w:val="00476CE8"/>
    <w:rsid w:val="0048009B"/>
    <w:rsid w:val="00480D75"/>
    <w:rsid w:val="004865BE"/>
    <w:rsid w:val="00487FF8"/>
    <w:rsid w:val="004907F2"/>
    <w:rsid w:val="00491C1B"/>
    <w:rsid w:val="004A2336"/>
    <w:rsid w:val="004A2B4D"/>
    <w:rsid w:val="004A33DF"/>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27136"/>
    <w:rsid w:val="00530D72"/>
    <w:rsid w:val="005323A4"/>
    <w:rsid w:val="00534C60"/>
    <w:rsid w:val="00534E4D"/>
    <w:rsid w:val="005378F5"/>
    <w:rsid w:val="005455EE"/>
    <w:rsid w:val="00550A12"/>
    <w:rsid w:val="005513B1"/>
    <w:rsid w:val="0055435A"/>
    <w:rsid w:val="00555EFA"/>
    <w:rsid w:val="00557500"/>
    <w:rsid w:val="00563987"/>
    <w:rsid w:val="00570723"/>
    <w:rsid w:val="00571687"/>
    <w:rsid w:val="0057366E"/>
    <w:rsid w:val="005753A9"/>
    <w:rsid w:val="00576D7E"/>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1D8C"/>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4D06"/>
    <w:rsid w:val="007573F7"/>
    <w:rsid w:val="00757790"/>
    <w:rsid w:val="007623BF"/>
    <w:rsid w:val="0076257B"/>
    <w:rsid w:val="00763956"/>
    <w:rsid w:val="00763A03"/>
    <w:rsid w:val="007678FD"/>
    <w:rsid w:val="00774942"/>
    <w:rsid w:val="007749F3"/>
    <w:rsid w:val="007750E2"/>
    <w:rsid w:val="007778CC"/>
    <w:rsid w:val="00784403"/>
    <w:rsid w:val="007869A3"/>
    <w:rsid w:val="00793F43"/>
    <w:rsid w:val="007A3041"/>
    <w:rsid w:val="007B030D"/>
    <w:rsid w:val="007C6966"/>
    <w:rsid w:val="007D4C21"/>
    <w:rsid w:val="007E00EE"/>
    <w:rsid w:val="007E3CCD"/>
    <w:rsid w:val="007F2E08"/>
    <w:rsid w:val="007F45E4"/>
    <w:rsid w:val="007F5566"/>
    <w:rsid w:val="007F57F2"/>
    <w:rsid w:val="007F7286"/>
    <w:rsid w:val="008024B5"/>
    <w:rsid w:val="00804237"/>
    <w:rsid w:val="008042A7"/>
    <w:rsid w:val="00804B00"/>
    <w:rsid w:val="00805CBD"/>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16EDE"/>
    <w:rsid w:val="009201CD"/>
    <w:rsid w:val="00923BC2"/>
    <w:rsid w:val="0093076E"/>
    <w:rsid w:val="00930D23"/>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787B"/>
    <w:rsid w:val="0099137A"/>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607A1"/>
    <w:rsid w:val="00B6591E"/>
    <w:rsid w:val="00B715F2"/>
    <w:rsid w:val="00B75AEC"/>
    <w:rsid w:val="00B77F38"/>
    <w:rsid w:val="00B816C0"/>
    <w:rsid w:val="00B84E81"/>
    <w:rsid w:val="00B92982"/>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E2606"/>
    <w:rsid w:val="00BE7A1B"/>
    <w:rsid w:val="00BF0956"/>
    <w:rsid w:val="00BF5FE7"/>
    <w:rsid w:val="00C04082"/>
    <w:rsid w:val="00C05C8E"/>
    <w:rsid w:val="00C07967"/>
    <w:rsid w:val="00C11035"/>
    <w:rsid w:val="00C111C9"/>
    <w:rsid w:val="00C1174C"/>
    <w:rsid w:val="00C16666"/>
    <w:rsid w:val="00C16805"/>
    <w:rsid w:val="00C23706"/>
    <w:rsid w:val="00C2430F"/>
    <w:rsid w:val="00C31117"/>
    <w:rsid w:val="00C312D0"/>
    <w:rsid w:val="00C34336"/>
    <w:rsid w:val="00C45AA0"/>
    <w:rsid w:val="00C601BA"/>
    <w:rsid w:val="00C70EFE"/>
    <w:rsid w:val="00C8046E"/>
    <w:rsid w:val="00C81A74"/>
    <w:rsid w:val="00C81EBC"/>
    <w:rsid w:val="00C839B0"/>
    <w:rsid w:val="00C85DAE"/>
    <w:rsid w:val="00C85F54"/>
    <w:rsid w:val="00C939B2"/>
    <w:rsid w:val="00C94EA3"/>
    <w:rsid w:val="00CA0A1E"/>
    <w:rsid w:val="00CA3B70"/>
    <w:rsid w:val="00CA4D9B"/>
    <w:rsid w:val="00CB20E3"/>
    <w:rsid w:val="00CC20F5"/>
    <w:rsid w:val="00CC36DB"/>
    <w:rsid w:val="00CD56DF"/>
    <w:rsid w:val="00CE07A5"/>
    <w:rsid w:val="00CF5720"/>
    <w:rsid w:val="00CF5905"/>
    <w:rsid w:val="00D0084F"/>
    <w:rsid w:val="00D020CA"/>
    <w:rsid w:val="00D033D7"/>
    <w:rsid w:val="00D044A7"/>
    <w:rsid w:val="00D07C87"/>
    <w:rsid w:val="00D10853"/>
    <w:rsid w:val="00D150A9"/>
    <w:rsid w:val="00D158F8"/>
    <w:rsid w:val="00D1748F"/>
    <w:rsid w:val="00D21754"/>
    <w:rsid w:val="00D30453"/>
    <w:rsid w:val="00D31284"/>
    <w:rsid w:val="00D31E7A"/>
    <w:rsid w:val="00D34076"/>
    <w:rsid w:val="00D34919"/>
    <w:rsid w:val="00D3572D"/>
    <w:rsid w:val="00D44EA2"/>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06C6"/>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385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uiPriority w:val="99"/>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436-1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56797</Words>
  <Characters>32375</Characters>
  <Application>Microsoft Office Word</Application>
  <DocSecurity>0</DocSecurity>
  <Lines>269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88995</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296</cp:revision>
  <cp:lastPrinted>2022-01-17T12:25:00Z</cp:lastPrinted>
  <dcterms:created xsi:type="dcterms:W3CDTF">2020-12-24T14:56:00Z</dcterms:created>
  <dcterms:modified xsi:type="dcterms:W3CDTF">2023-01-16T13:42:00Z</dcterms:modified>
</cp:coreProperties>
</file>