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C43CE4">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C43CE4">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sidRPr="0064111A">
        <w:rPr>
          <w:rFonts w:ascii="Arial" w:eastAsia="Times New Roman" w:hAnsi="Arial" w:cs="Arial"/>
          <w:color w:val="293A55"/>
          <w:sz w:val="24"/>
          <w:szCs w:val="24"/>
          <w:lang w:eastAsia="uk-UA"/>
        </w:rPr>
        <w:t xml:space="preserve">Додаток </w:t>
      </w:r>
      <w:r w:rsidR="0064111A">
        <w:rPr>
          <w:rFonts w:ascii="Arial" w:eastAsia="Times New Roman" w:hAnsi="Arial" w:cs="Arial"/>
          <w:color w:val="293A55"/>
          <w:sz w:val="24"/>
          <w:szCs w:val="24"/>
          <w:lang w:val="ru-RU" w:eastAsia="uk-UA"/>
        </w:rPr>
        <w:t>4</w:t>
      </w:r>
      <w:r w:rsidR="0044061E">
        <w:rPr>
          <w:rFonts w:ascii="Arial" w:eastAsia="Times New Roman" w:hAnsi="Arial" w:cs="Arial"/>
          <w:color w:val="293A55"/>
          <w:sz w:val="24"/>
          <w:szCs w:val="24"/>
          <w:lang w:val="ru-RU" w:eastAsia="uk-UA"/>
        </w:rPr>
        <w:t xml:space="preserve"> </w:t>
      </w:r>
      <w:bookmarkStart w:id="0" w:name="_GoBack"/>
      <w:bookmarkEnd w:id="0"/>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Pr="009F4BF3" w:rsidRDefault="000D03B8">
            <w:pPr>
              <w:spacing w:after="165"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Сума </w:t>
            </w:r>
            <w:r w:rsidRPr="00D720A7">
              <w:rPr>
                <w:rFonts w:ascii="Times New Roman" w:eastAsia="Times New Roman" w:hAnsi="Times New Roman" w:cs="Times New Roman"/>
                <w:sz w:val="24"/>
                <w:szCs w:val="24"/>
                <w:lang w:eastAsia="uk-UA"/>
              </w:rPr>
              <w:t>гарантії</w:t>
            </w:r>
            <w:r w:rsidR="00D13B67">
              <w:rPr>
                <w:rFonts w:ascii="Times New Roman" w:eastAsia="Times New Roman" w:hAnsi="Times New Roman" w:cs="Times New Roman"/>
                <w:sz w:val="24"/>
                <w:szCs w:val="24"/>
                <w:lang w:eastAsia="uk-UA"/>
              </w:rPr>
              <w:t xml:space="preserve">  </w:t>
            </w:r>
            <w:r w:rsidR="00186827">
              <w:rPr>
                <w:rFonts w:ascii="Times New Roman" w:eastAsia="Times New Roman" w:hAnsi="Times New Roman"/>
                <w:sz w:val="24"/>
                <w:szCs w:val="24"/>
                <w:lang w:eastAsia="uk-UA"/>
              </w:rPr>
              <w:t xml:space="preserve"> </w:t>
            </w:r>
            <w:r w:rsidR="005E68D6">
              <w:rPr>
                <w:rFonts w:ascii="Times New Roman" w:eastAsia="Times New Roman" w:hAnsi="Times New Roman"/>
                <w:sz w:val="24"/>
                <w:szCs w:val="24"/>
                <w:lang w:eastAsia="uk-UA"/>
              </w:rPr>
              <w:t>59 100</w:t>
            </w:r>
            <w:r w:rsidR="00114D7F" w:rsidRPr="00D720A7">
              <w:rPr>
                <w:rFonts w:ascii="Times New Roman" w:eastAsia="Times New Roman" w:hAnsi="Times New Roman"/>
                <w:sz w:val="24"/>
                <w:szCs w:val="24"/>
                <w:lang w:eastAsia="uk-UA"/>
              </w:rPr>
              <w:t xml:space="preserve">.00 </w:t>
            </w:r>
            <w:proofErr w:type="spellStart"/>
            <w:r w:rsidR="001F1171" w:rsidRPr="00D720A7">
              <w:rPr>
                <w:rFonts w:ascii="Times New Roman" w:eastAsia="Times New Roman" w:hAnsi="Times New Roman" w:cs="Times New Roman"/>
                <w:sz w:val="24"/>
                <w:szCs w:val="24"/>
                <w:lang w:eastAsia="uk-UA"/>
              </w:rPr>
              <w:t>грн</w:t>
            </w:r>
            <w:proofErr w:type="spellEnd"/>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sidRPr="008C5CDB">
              <w:rPr>
                <w:rFonts w:ascii="Times New Roman" w:eastAsia="Times New Roman" w:hAnsi="Times New Roman" w:cs="Times New Roman"/>
                <w:sz w:val="24"/>
                <w:szCs w:val="24"/>
                <w:highlight w:val="yellow"/>
                <w:lang w:val="en-US" w:eastAsia="uk-UA"/>
              </w:rPr>
              <w:t>UA</w:t>
            </w:r>
            <w:r w:rsidR="00DA4E07">
              <w:rPr>
                <w:rFonts w:ascii="Times New Roman" w:eastAsia="Times New Roman" w:hAnsi="Times New Roman" w:cs="Times New Roman"/>
                <w:sz w:val="24"/>
                <w:szCs w:val="24"/>
                <w:highlight w:val="yellow"/>
                <w:lang w:val="ru-RU" w:eastAsia="uk-UA"/>
              </w:rPr>
              <w:t>-2023-0</w:t>
            </w:r>
            <w:r w:rsidR="00DA4E07" w:rsidRPr="00DA4E07">
              <w:rPr>
                <w:rFonts w:ascii="Times New Roman" w:eastAsia="Times New Roman" w:hAnsi="Times New Roman" w:cs="Times New Roman"/>
                <w:sz w:val="24"/>
                <w:szCs w:val="24"/>
                <w:highlight w:val="yellow"/>
                <w:lang w:val="ru-RU" w:eastAsia="uk-UA"/>
              </w:rPr>
              <w:t>8</w:t>
            </w:r>
            <w:r w:rsidR="00D720A7">
              <w:rPr>
                <w:rFonts w:ascii="Times New Roman" w:eastAsia="Times New Roman" w:hAnsi="Times New Roman" w:cs="Times New Roman"/>
                <w:sz w:val="24"/>
                <w:szCs w:val="24"/>
                <w:highlight w:val="yellow"/>
                <w:lang w:val="ru-RU" w:eastAsia="uk-UA"/>
              </w:rPr>
              <w:t>-</w:t>
            </w:r>
            <w:r w:rsidR="00DA4E07" w:rsidRPr="00DA4E07">
              <w:rPr>
                <w:rFonts w:ascii="Times New Roman" w:eastAsia="Times New Roman" w:hAnsi="Times New Roman" w:cs="Times New Roman"/>
                <w:sz w:val="24"/>
                <w:szCs w:val="24"/>
                <w:lang w:val="ru-RU" w:eastAsia="uk-UA"/>
              </w:rPr>
              <w:t>24</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0D7F89" w:rsidRPr="008C5CDB" w:rsidRDefault="000D03B8" w:rsidP="00EC7CC9">
            <w:pPr>
              <w:ind w:firstLine="426"/>
              <w:rPr>
                <w:rFonts w:ascii="Times New Roman" w:eastAsia="Times New Roman" w:hAnsi="Times New Roman" w:cs="Times New Roman"/>
                <w:color w:val="000000"/>
                <w:sz w:val="24"/>
                <w:szCs w:val="24"/>
              </w:rPr>
            </w:pPr>
            <w:r>
              <w:rPr>
                <w:rFonts w:ascii="Times New Roman" w:hAnsi="Times New Roman"/>
              </w:rPr>
              <w:t>Інформація щодо тендерної </w:t>
            </w:r>
            <w:r w:rsidRPr="008C5CDB">
              <w:rPr>
                <w:rFonts w:ascii="Times New Roman" w:hAnsi="Times New Roman" w:cs="Times New Roman"/>
                <w:sz w:val="24"/>
                <w:szCs w:val="24"/>
              </w:rPr>
              <w:t>документації </w:t>
            </w:r>
            <w:r w:rsidRPr="008C5CDB">
              <w:rPr>
                <w:rFonts w:ascii="Times New Roman" w:eastAsia="Arial" w:hAnsi="Times New Roman" w:cs="Times New Roman"/>
                <w:sz w:val="24"/>
                <w:szCs w:val="24"/>
              </w:rPr>
              <w:t xml:space="preserve"> </w:t>
            </w:r>
            <w:r w:rsidR="00F12646" w:rsidRPr="00EC7CC9">
              <w:rPr>
                <w:rFonts w:ascii="Times New Roman" w:hAnsi="Times New Roman" w:cs="Times New Roman"/>
                <w:sz w:val="24"/>
                <w:szCs w:val="24"/>
                <w:shd w:val="clear" w:color="auto" w:fill="F0F5F2"/>
              </w:rPr>
              <w:t>«</w:t>
            </w:r>
            <w:proofErr w:type="spellStart"/>
            <w:r w:rsidR="008C5CDB" w:rsidRPr="00EC7CC9">
              <w:rPr>
                <w:rFonts w:ascii="Times New Roman" w:hAnsi="Times New Roman" w:cs="Times New Roman"/>
                <w:bCs/>
                <w:sz w:val="24"/>
                <w:szCs w:val="24"/>
              </w:rPr>
              <w:t>ДК</w:t>
            </w:r>
            <w:proofErr w:type="spellEnd"/>
            <w:r w:rsidR="008C5CDB" w:rsidRPr="00EC7CC9">
              <w:rPr>
                <w:rFonts w:ascii="Times New Roman" w:hAnsi="Times New Roman" w:cs="Times New Roman"/>
                <w:bCs/>
                <w:sz w:val="24"/>
                <w:szCs w:val="24"/>
              </w:rPr>
              <w:t xml:space="preserve"> 021:2015: </w:t>
            </w:r>
            <w:r w:rsidR="00B75D50" w:rsidRPr="00DA4E07">
              <w:rPr>
                <w:rFonts w:ascii="Times New Roman" w:hAnsi="Times New Roman" w:cs="Times New Roman"/>
                <w:color w:val="333333"/>
                <w:sz w:val="24"/>
                <w:szCs w:val="24"/>
              </w:rPr>
              <w:t>44210000-5: Конструкції та їх частини</w:t>
            </w:r>
            <w:r w:rsidR="00BF2161">
              <w:rPr>
                <w:rFonts w:ascii="Times New Roman" w:hAnsi="Times New Roman" w:cs="Times New Roman"/>
                <w:color w:val="333333"/>
                <w:sz w:val="24"/>
                <w:szCs w:val="24"/>
              </w:rPr>
              <w:t xml:space="preserve"> </w:t>
            </w:r>
            <w:r w:rsidR="00BF2161" w:rsidRPr="00DA4E07">
              <w:rPr>
                <w:rFonts w:ascii="Times New Roman" w:hAnsi="Times New Roman"/>
                <w:b/>
                <w:color w:val="333333"/>
                <w:sz w:val="24"/>
                <w:szCs w:val="24"/>
              </w:rPr>
              <w:t>/</w:t>
            </w:r>
            <w:r w:rsidR="00BF2161" w:rsidRPr="00DA4E07">
              <w:rPr>
                <w:rFonts w:ascii="Times New Roman" w:hAnsi="Times New Roman"/>
                <w:color w:val="333333"/>
                <w:sz w:val="24"/>
                <w:szCs w:val="24"/>
              </w:rPr>
              <w:t>44212227-6/</w:t>
            </w:r>
            <w:r w:rsidR="00BF2161" w:rsidRPr="00DA4E07">
              <w:rPr>
                <w:rFonts w:ascii="Times New Roman" w:hAnsi="Times New Roman" w:cs="Times New Roman"/>
                <w:color w:val="333333"/>
                <w:sz w:val="24"/>
                <w:szCs w:val="24"/>
              </w:rPr>
              <w:t xml:space="preserve"> </w:t>
            </w:r>
            <w:r w:rsidR="00DA4E07" w:rsidRPr="00DA4E07">
              <w:rPr>
                <w:rFonts w:ascii="Times New Roman" w:hAnsi="Times New Roman" w:cs="Times New Roman"/>
                <w:color w:val="333333"/>
                <w:sz w:val="24"/>
                <w:szCs w:val="24"/>
              </w:rPr>
              <w:t>(</w:t>
            </w:r>
            <w:r w:rsidR="00DA4E07" w:rsidRPr="00DA4E07">
              <w:rPr>
                <w:rFonts w:ascii="Times New Roman" w:hAnsi="Times New Roman" w:cs="Times New Roman"/>
                <w:sz w:val="24"/>
                <w:szCs w:val="24"/>
              </w:rPr>
              <w:t>Одноріжкова</w:t>
            </w:r>
            <w:r w:rsidR="00DA4E07" w:rsidRPr="00DA4E07">
              <w:t xml:space="preserve"> і т</w:t>
            </w:r>
            <w:r w:rsidR="00DA4E07" w:rsidRPr="00DA4E07">
              <w:rPr>
                <w:rFonts w:ascii="Times New Roman" w:hAnsi="Times New Roman" w:cs="Times New Roman"/>
                <w:sz w:val="24"/>
                <w:szCs w:val="24"/>
              </w:rPr>
              <w:t>рьохріжкова  декоративна опора освітлення  в комплекті з анкерною закладною та освітлювальним елементом</w:t>
            </w:r>
            <w:r w:rsidR="00B75D50" w:rsidRPr="00DA4E07">
              <w:rPr>
                <w:rFonts w:ascii="Times New Roman" w:hAnsi="Times New Roman" w:cs="Times New Roman"/>
                <w:color w:val="333333"/>
                <w:sz w:val="24"/>
                <w:szCs w:val="24"/>
              </w:rPr>
              <w:t>.)</w:t>
            </w:r>
            <w:r w:rsidR="00B75D50" w:rsidRPr="00DA4E07">
              <w:rPr>
                <w:rFonts w:ascii="Times New Roman" w:hAnsi="Times New Roman"/>
                <w:b/>
                <w:color w:val="333333"/>
                <w:sz w:val="24"/>
                <w:szCs w:val="24"/>
              </w:rPr>
              <w:t xml:space="preserve"> </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1F1171">
      <w:pPr>
        <w:spacing w:after="0" w:line="240" w:lineRule="auto"/>
      </w:pPr>
      <w:r>
        <w:rPr>
          <w:rFonts w:ascii="Times New Roman" w:eastAsia="Times New Roman" w:hAnsi="Times New Roman"/>
          <w:sz w:val="24"/>
          <w:szCs w:val="24"/>
          <w:lang w:eastAsia="zh-CN"/>
        </w:rPr>
        <w:t>790</w:t>
      </w:r>
      <w:r w:rsidRPr="00114D7F">
        <w:rPr>
          <w:rFonts w:ascii="Times New Roman" w:eastAsia="Times New Roman" w:hAnsi="Times New Roman"/>
          <w:sz w:val="24"/>
          <w:szCs w:val="24"/>
          <w:lang w:eastAsia="zh-CN"/>
        </w:rPr>
        <w:t>51</w:t>
      </w:r>
      <w:r w:rsidR="000D03B8">
        <w:rPr>
          <w:rFonts w:ascii="Times New Roman" w:eastAsia="Times New Roman" w:hAnsi="Times New Roman"/>
          <w:sz w:val="24"/>
          <w:szCs w:val="24"/>
          <w:lang w:eastAsia="zh-CN"/>
        </w:rPr>
        <w:t xml:space="preserve">, </w:t>
      </w:r>
      <w:proofErr w:type="spellStart"/>
      <w:r w:rsidR="000D03B8">
        <w:rPr>
          <w:rFonts w:ascii="Times New Roman" w:eastAsia="Times New Roman" w:hAnsi="Times New Roman"/>
          <w:sz w:val="24"/>
          <w:szCs w:val="24"/>
          <w:lang w:eastAsia="zh-CN"/>
        </w:rPr>
        <w:t>м.Львів</w:t>
      </w:r>
      <w:proofErr w:type="spellEnd"/>
      <w:r w:rsidR="000D03B8">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sidR="000D03B8">
        <w:rPr>
          <w:rFonts w:ascii="Times New Roman" w:eastAsia="Times New Roman" w:hAnsi="Times New Roman"/>
          <w:sz w:val="24"/>
          <w:szCs w:val="24"/>
          <w:lang w:eastAsia="zh-CN"/>
        </w:rPr>
        <w:tab/>
        <w:t xml:space="preserve">, </w:t>
      </w:r>
      <w:r w:rsidR="000D03B8">
        <w:rPr>
          <w:rFonts w:ascii="Times New Roman" w:hAnsi="Times New Roman"/>
          <w:sz w:val="24"/>
          <w:szCs w:val="24"/>
        </w:rPr>
        <w:t>МФО</w:t>
      </w:r>
      <w:r w:rsidR="000D03B8">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58" w:rsidRDefault="00916858">
      <w:pPr>
        <w:spacing w:line="240" w:lineRule="auto"/>
      </w:pPr>
      <w:r>
        <w:separator/>
      </w:r>
    </w:p>
  </w:endnote>
  <w:endnote w:type="continuationSeparator" w:id="0">
    <w:p w:rsidR="00916858" w:rsidRDefault="009168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58" w:rsidRDefault="00916858">
      <w:pPr>
        <w:spacing w:after="0"/>
      </w:pPr>
      <w:r>
        <w:separator/>
      </w:r>
    </w:p>
  </w:footnote>
  <w:footnote w:type="continuationSeparator" w:id="0">
    <w:p w:rsidR="00916858" w:rsidRDefault="0091685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24EC8"/>
    <w:rsid w:val="00027E15"/>
    <w:rsid w:val="00050593"/>
    <w:rsid w:val="00055FA4"/>
    <w:rsid w:val="000D03B8"/>
    <w:rsid w:val="000D7F89"/>
    <w:rsid w:val="000E767C"/>
    <w:rsid w:val="00104080"/>
    <w:rsid w:val="001123FE"/>
    <w:rsid w:val="00114D7F"/>
    <w:rsid w:val="00131D84"/>
    <w:rsid w:val="001371DD"/>
    <w:rsid w:val="00186827"/>
    <w:rsid w:val="001A097D"/>
    <w:rsid w:val="001A36F3"/>
    <w:rsid w:val="001C62D4"/>
    <w:rsid w:val="001F1171"/>
    <w:rsid w:val="002438E3"/>
    <w:rsid w:val="002703FA"/>
    <w:rsid w:val="002739A3"/>
    <w:rsid w:val="00296BAA"/>
    <w:rsid w:val="002C43C1"/>
    <w:rsid w:val="003611DA"/>
    <w:rsid w:val="00365CC3"/>
    <w:rsid w:val="00384CEA"/>
    <w:rsid w:val="003B71F9"/>
    <w:rsid w:val="003D22A8"/>
    <w:rsid w:val="003E0645"/>
    <w:rsid w:val="003E482D"/>
    <w:rsid w:val="003E4962"/>
    <w:rsid w:val="003E6C2D"/>
    <w:rsid w:val="004150EB"/>
    <w:rsid w:val="0042093E"/>
    <w:rsid w:val="0044061E"/>
    <w:rsid w:val="004B5089"/>
    <w:rsid w:val="004C3855"/>
    <w:rsid w:val="004C406B"/>
    <w:rsid w:val="004E1AE6"/>
    <w:rsid w:val="00510A9E"/>
    <w:rsid w:val="00525C70"/>
    <w:rsid w:val="00557F39"/>
    <w:rsid w:val="005626A2"/>
    <w:rsid w:val="005D0E85"/>
    <w:rsid w:val="005E68D6"/>
    <w:rsid w:val="006062B7"/>
    <w:rsid w:val="006108A3"/>
    <w:rsid w:val="006213C0"/>
    <w:rsid w:val="006331B0"/>
    <w:rsid w:val="0064111A"/>
    <w:rsid w:val="00644418"/>
    <w:rsid w:val="0068443C"/>
    <w:rsid w:val="00693BD2"/>
    <w:rsid w:val="006A11A7"/>
    <w:rsid w:val="006A5741"/>
    <w:rsid w:val="0071015E"/>
    <w:rsid w:val="007113E3"/>
    <w:rsid w:val="00746841"/>
    <w:rsid w:val="007519F6"/>
    <w:rsid w:val="00755535"/>
    <w:rsid w:val="00760243"/>
    <w:rsid w:val="007C3829"/>
    <w:rsid w:val="007C45F2"/>
    <w:rsid w:val="007C6991"/>
    <w:rsid w:val="008008B6"/>
    <w:rsid w:val="00894DA8"/>
    <w:rsid w:val="008C211C"/>
    <w:rsid w:val="008C5CDB"/>
    <w:rsid w:val="008D4417"/>
    <w:rsid w:val="00916858"/>
    <w:rsid w:val="00937DB9"/>
    <w:rsid w:val="00963B6A"/>
    <w:rsid w:val="00971989"/>
    <w:rsid w:val="0098607A"/>
    <w:rsid w:val="009D0A85"/>
    <w:rsid w:val="009D6375"/>
    <w:rsid w:val="009E04F4"/>
    <w:rsid w:val="009F4BF3"/>
    <w:rsid w:val="00A01AD2"/>
    <w:rsid w:val="00A152E9"/>
    <w:rsid w:val="00A82A24"/>
    <w:rsid w:val="00A868A1"/>
    <w:rsid w:val="00AA0441"/>
    <w:rsid w:val="00AB3E8A"/>
    <w:rsid w:val="00AB41E6"/>
    <w:rsid w:val="00AE118C"/>
    <w:rsid w:val="00B6096B"/>
    <w:rsid w:val="00B75D50"/>
    <w:rsid w:val="00BA2ED7"/>
    <w:rsid w:val="00BB563D"/>
    <w:rsid w:val="00BD3F27"/>
    <w:rsid w:val="00BE2452"/>
    <w:rsid w:val="00BE2E41"/>
    <w:rsid w:val="00BF2161"/>
    <w:rsid w:val="00BF57B5"/>
    <w:rsid w:val="00C36842"/>
    <w:rsid w:val="00C43CE4"/>
    <w:rsid w:val="00C4459F"/>
    <w:rsid w:val="00C759EF"/>
    <w:rsid w:val="00C77902"/>
    <w:rsid w:val="00C91408"/>
    <w:rsid w:val="00CB3AFB"/>
    <w:rsid w:val="00CE0A76"/>
    <w:rsid w:val="00CE5AA8"/>
    <w:rsid w:val="00CF5213"/>
    <w:rsid w:val="00D0430F"/>
    <w:rsid w:val="00D13B67"/>
    <w:rsid w:val="00D46CD9"/>
    <w:rsid w:val="00D720A7"/>
    <w:rsid w:val="00D73B79"/>
    <w:rsid w:val="00DA4E07"/>
    <w:rsid w:val="00DB19C1"/>
    <w:rsid w:val="00DD3B52"/>
    <w:rsid w:val="00DF580D"/>
    <w:rsid w:val="00E160C6"/>
    <w:rsid w:val="00E201C5"/>
    <w:rsid w:val="00E622F1"/>
    <w:rsid w:val="00EA4B0C"/>
    <w:rsid w:val="00EC7CC9"/>
    <w:rsid w:val="00EE6907"/>
    <w:rsid w:val="00F103B2"/>
    <w:rsid w:val="00F12646"/>
    <w:rsid w:val="00F378A8"/>
    <w:rsid w:val="00F53A3F"/>
    <w:rsid w:val="00FB39D0"/>
    <w:rsid w:val="00FC2A89"/>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A7004-B122-4495-B13D-86D5CAD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8006</Words>
  <Characters>4564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22</cp:revision>
  <dcterms:created xsi:type="dcterms:W3CDTF">2023-05-05T12:02:00Z</dcterms:created>
  <dcterms:modified xsi:type="dcterms:W3CDTF">2023-08-24T10:09:00Z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