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D45EB3" w:rsidRDefault="005017C1" w:rsidP="003F3832">
            <w:pPr>
              <w:jc w:val="both"/>
            </w:pPr>
            <w:r>
              <w:t>150</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5017C1" w:rsidP="008900ED">
            <w:pPr>
              <w:tabs>
                <w:tab w:val="left" w:pos="825"/>
              </w:tabs>
              <w:ind w:firstLine="29"/>
              <w:jc w:val="both"/>
            </w:pPr>
            <w:r>
              <w:t>16</w:t>
            </w:r>
            <w:r w:rsidR="002C61C4">
              <w:t>.03</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5017C1" w:rsidRDefault="00B25AD7" w:rsidP="005017C1">
      <w:pPr>
        <w:jc w:val="center"/>
        <w:rPr>
          <w:i/>
          <w:iCs/>
          <w:sz w:val="32"/>
          <w:szCs w:val="32"/>
        </w:rPr>
      </w:pPr>
      <w:r w:rsidRPr="00020E90">
        <w:rPr>
          <w:i/>
          <w:iCs/>
          <w:sz w:val="32"/>
          <w:szCs w:val="32"/>
        </w:rPr>
        <w:t xml:space="preserve">на закупівлю  </w:t>
      </w:r>
      <w:r w:rsidR="005017C1">
        <w:rPr>
          <w:i/>
          <w:iCs/>
          <w:sz w:val="32"/>
          <w:szCs w:val="32"/>
        </w:rPr>
        <w:t xml:space="preserve">індикаторів працездатності схем обліку </w:t>
      </w:r>
    </w:p>
    <w:p w:rsidR="00B25AD7" w:rsidRPr="00C952F4" w:rsidRDefault="005017C1" w:rsidP="005017C1">
      <w:pPr>
        <w:tabs>
          <w:tab w:val="left" w:pos="284"/>
        </w:tabs>
        <w:jc w:val="center"/>
        <w:rPr>
          <w:i/>
          <w:iCs/>
          <w:sz w:val="32"/>
          <w:szCs w:val="32"/>
        </w:rPr>
      </w:pPr>
      <w:r>
        <w:rPr>
          <w:i/>
          <w:iCs/>
          <w:sz w:val="32"/>
          <w:szCs w:val="32"/>
        </w:rPr>
        <w:t xml:space="preserve"> (к</w:t>
      </w:r>
      <w:r w:rsidRPr="00C952F4">
        <w:rPr>
          <w:i/>
          <w:iCs/>
          <w:sz w:val="32"/>
          <w:szCs w:val="32"/>
        </w:rPr>
        <w:t>од ДК 021:2015</w:t>
      </w:r>
      <w:r>
        <w:rPr>
          <w:i/>
          <w:iCs/>
          <w:sz w:val="32"/>
          <w:szCs w:val="32"/>
        </w:rPr>
        <w:t xml:space="preserve">- </w:t>
      </w:r>
      <w:r w:rsidRPr="00761263">
        <w:rPr>
          <w:i/>
          <w:iCs/>
          <w:sz w:val="32"/>
          <w:szCs w:val="32"/>
        </w:rPr>
        <w:t>38340000-0: Прилади для вимірювання величин</w:t>
      </w: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22"/>
        <w:gridCol w:w="216"/>
        <w:gridCol w:w="2975"/>
        <w:gridCol w:w="4822"/>
        <w:gridCol w:w="11"/>
      </w:tblGrid>
      <w:tr w:rsidR="00B33E85" w:rsidRPr="00C941C6" w:rsidTr="005017C1">
        <w:trPr>
          <w:gridAfter w:val="1"/>
          <w:wAfter w:w="11" w:type="dxa"/>
        </w:trPr>
        <w:tc>
          <w:tcPr>
            <w:tcW w:w="9935"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5017C1">
        <w:trPr>
          <w:gridAfter w:val="1"/>
          <w:wAfter w:w="11" w:type="dxa"/>
        </w:trPr>
        <w:tc>
          <w:tcPr>
            <w:tcW w:w="2002"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933"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5017C1">
        <w:trPr>
          <w:gridAfter w:val="1"/>
          <w:wAfter w:w="11" w:type="dxa"/>
        </w:trPr>
        <w:tc>
          <w:tcPr>
            <w:tcW w:w="2002"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933"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5017C1">
        <w:trPr>
          <w:gridAfter w:val="1"/>
          <w:wAfter w:w="11" w:type="dxa"/>
        </w:trPr>
        <w:tc>
          <w:tcPr>
            <w:tcW w:w="2002"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933"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5017C1">
        <w:trPr>
          <w:gridAfter w:val="1"/>
          <w:wAfter w:w="11" w:type="dxa"/>
        </w:trPr>
        <w:tc>
          <w:tcPr>
            <w:tcW w:w="2002"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3004"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4929"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5017C1">
        <w:trPr>
          <w:gridAfter w:val="1"/>
          <w:wAfter w:w="11" w:type="dxa"/>
        </w:trPr>
        <w:tc>
          <w:tcPr>
            <w:tcW w:w="2002" w:type="dxa"/>
            <w:gridSpan w:val="2"/>
            <w:vAlign w:val="center"/>
          </w:tcPr>
          <w:p w:rsidR="00B25AD7" w:rsidRPr="001378A5" w:rsidRDefault="00B25AD7" w:rsidP="00B25AD7">
            <w:pPr>
              <w:pStyle w:val="a5"/>
              <w:tabs>
                <w:tab w:val="clear" w:pos="4677"/>
                <w:tab w:val="clear" w:pos="9355"/>
                <w:tab w:val="left" w:pos="1260"/>
                <w:tab w:val="left" w:pos="1980"/>
              </w:tabs>
            </w:pPr>
          </w:p>
        </w:tc>
        <w:tc>
          <w:tcPr>
            <w:tcW w:w="3004"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4929"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5017C1">
        <w:trPr>
          <w:gridAfter w:val="1"/>
          <w:wAfter w:w="11" w:type="dxa"/>
        </w:trPr>
        <w:tc>
          <w:tcPr>
            <w:tcW w:w="2002"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933"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5017C1">
        <w:trPr>
          <w:gridAfter w:val="1"/>
          <w:wAfter w:w="11" w:type="dxa"/>
        </w:trPr>
        <w:tc>
          <w:tcPr>
            <w:tcW w:w="2002"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933"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5017C1">
        <w:trPr>
          <w:gridAfter w:val="1"/>
          <w:wAfter w:w="11" w:type="dxa"/>
        </w:trPr>
        <w:tc>
          <w:tcPr>
            <w:tcW w:w="2002"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933"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5017C1">
        <w:trPr>
          <w:gridAfter w:val="1"/>
          <w:wAfter w:w="11" w:type="dxa"/>
        </w:trPr>
        <w:tc>
          <w:tcPr>
            <w:tcW w:w="2002" w:type="dxa"/>
            <w:gridSpan w:val="2"/>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933" w:type="dxa"/>
            <w:gridSpan w:val="2"/>
            <w:vAlign w:val="center"/>
          </w:tcPr>
          <w:p w:rsidR="005017C1" w:rsidRDefault="005017C1" w:rsidP="005017C1">
            <w:pPr>
              <w:jc w:val="center"/>
              <w:rPr>
                <w:i/>
                <w:iCs/>
                <w:sz w:val="32"/>
                <w:szCs w:val="32"/>
              </w:rPr>
            </w:pPr>
            <w:r>
              <w:rPr>
                <w:i/>
                <w:iCs/>
                <w:sz w:val="32"/>
                <w:szCs w:val="32"/>
              </w:rPr>
              <w:t>індикатор</w:t>
            </w:r>
            <w:r>
              <w:rPr>
                <w:i/>
                <w:iCs/>
                <w:sz w:val="32"/>
                <w:szCs w:val="32"/>
              </w:rPr>
              <w:t>и</w:t>
            </w:r>
            <w:r>
              <w:rPr>
                <w:i/>
                <w:iCs/>
                <w:sz w:val="32"/>
                <w:szCs w:val="32"/>
              </w:rPr>
              <w:t xml:space="preserve"> працездатності схем обліку </w:t>
            </w:r>
          </w:p>
          <w:p w:rsidR="005017C1" w:rsidRPr="00C952F4" w:rsidRDefault="005017C1" w:rsidP="005017C1">
            <w:pPr>
              <w:tabs>
                <w:tab w:val="left" w:pos="284"/>
              </w:tabs>
              <w:jc w:val="center"/>
              <w:rPr>
                <w:i/>
                <w:iCs/>
                <w:sz w:val="32"/>
                <w:szCs w:val="32"/>
              </w:rPr>
            </w:pPr>
            <w:r>
              <w:rPr>
                <w:i/>
                <w:iCs/>
                <w:sz w:val="32"/>
                <w:szCs w:val="32"/>
              </w:rPr>
              <w:t xml:space="preserve"> (к</w:t>
            </w:r>
            <w:r w:rsidRPr="00C952F4">
              <w:rPr>
                <w:i/>
                <w:iCs/>
                <w:sz w:val="32"/>
                <w:szCs w:val="32"/>
              </w:rPr>
              <w:t>од ДК 021:2015</w:t>
            </w:r>
            <w:r>
              <w:rPr>
                <w:i/>
                <w:iCs/>
                <w:sz w:val="32"/>
                <w:szCs w:val="32"/>
              </w:rPr>
              <w:t xml:space="preserve">- </w:t>
            </w:r>
            <w:r w:rsidRPr="00761263">
              <w:rPr>
                <w:i/>
                <w:iCs/>
                <w:sz w:val="32"/>
                <w:szCs w:val="32"/>
              </w:rPr>
              <w:t>38340000-0: Прилади для вимірювання величин</w:t>
            </w:r>
            <w:r>
              <w:rPr>
                <w:i/>
                <w:iCs/>
                <w:sz w:val="32"/>
                <w:szCs w:val="32"/>
              </w:rPr>
              <w:t>)</w:t>
            </w:r>
          </w:p>
          <w:p w:rsidR="006126FA" w:rsidRPr="00BF1344" w:rsidRDefault="006126FA" w:rsidP="006126FA">
            <w:pPr>
              <w:spacing w:line="300" w:lineRule="atLeast"/>
              <w:jc w:val="center"/>
              <w:textAlignment w:val="baseline"/>
              <w:rPr>
                <w:i/>
                <w:iCs/>
                <w:sz w:val="32"/>
                <w:szCs w:val="32"/>
              </w:rPr>
            </w:pPr>
          </w:p>
          <w:p w:rsidR="00B25AD7" w:rsidRPr="00A27559" w:rsidRDefault="00B25AD7" w:rsidP="00761263">
            <w:pPr>
              <w:jc w:val="center"/>
            </w:pPr>
          </w:p>
        </w:tc>
      </w:tr>
      <w:tr w:rsidR="00B25AD7" w:rsidRPr="00C941C6" w:rsidTr="005017C1">
        <w:trPr>
          <w:gridAfter w:val="1"/>
          <w:wAfter w:w="11" w:type="dxa"/>
        </w:trPr>
        <w:tc>
          <w:tcPr>
            <w:tcW w:w="2002" w:type="dxa"/>
            <w:gridSpan w:val="2"/>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933" w:type="dxa"/>
            <w:gridSpan w:val="2"/>
            <w:vAlign w:val="center"/>
          </w:tcPr>
          <w:p w:rsidR="00B25AD7" w:rsidRPr="005C1FDF" w:rsidRDefault="00BF1344" w:rsidP="00D96C22">
            <w:pPr>
              <w:jc w:val="both"/>
            </w:pPr>
            <w:r>
              <w:t>Подання пропозицій на частину обсягу закупівлі не передбачено</w:t>
            </w:r>
          </w:p>
        </w:tc>
      </w:tr>
      <w:tr w:rsidR="00B25AD7" w:rsidRPr="00C941C6" w:rsidTr="005017C1">
        <w:trPr>
          <w:gridAfter w:val="1"/>
          <w:wAfter w:w="11" w:type="dxa"/>
        </w:trPr>
        <w:tc>
          <w:tcPr>
            <w:tcW w:w="2002" w:type="dxa"/>
            <w:gridSpan w:val="2"/>
            <w:vAlign w:val="center"/>
          </w:tcPr>
          <w:p w:rsidR="00B25AD7" w:rsidRPr="00C941C6" w:rsidRDefault="00B25AD7" w:rsidP="00B25AD7">
            <w:pPr>
              <w:pStyle w:val="a7"/>
              <w:tabs>
                <w:tab w:val="left" w:pos="1260"/>
                <w:tab w:val="left" w:pos="1980"/>
              </w:tabs>
            </w:pPr>
            <w:r w:rsidRPr="00C941C6">
              <w:t>кількість товарів</w:t>
            </w:r>
          </w:p>
        </w:tc>
        <w:tc>
          <w:tcPr>
            <w:tcW w:w="7933" w:type="dxa"/>
            <w:gridSpan w:val="2"/>
            <w:vAlign w:val="center"/>
          </w:tcPr>
          <w:p w:rsidR="00B25AD7" w:rsidRPr="005C1FDF" w:rsidRDefault="005017C1" w:rsidP="005415A7">
            <w:pPr>
              <w:pStyle w:val="a5"/>
              <w:tabs>
                <w:tab w:val="clear" w:pos="4677"/>
                <w:tab w:val="clear" w:pos="9355"/>
                <w:tab w:val="left" w:pos="1260"/>
                <w:tab w:val="left" w:pos="1980"/>
              </w:tabs>
              <w:rPr>
                <w:iCs/>
              </w:rPr>
            </w:pPr>
            <w:r>
              <w:rPr>
                <w:iCs/>
              </w:rPr>
              <w:t>13</w:t>
            </w:r>
            <w:r w:rsidR="006126FA">
              <w:rPr>
                <w:iCs/>
              </w:rPr>
              <w:t xml:space="preserve"> </w:t>
            </w:r>
            <w:r w:rsidR="00DD03E6">
              <w:rPr>
                <w:iCs/>
              </w:rPr>
              <w:t>шт.</w:t>
            </w:r>
          </w:p>
        </w:tc>
      </w:tr>
      <w:tr w:rsidR="00B25AD7" w:rsidRPr="00C941C6" w:rsidTr="005017C1">
        <w:trPr>
          <w:gridAfter w:val="1"/>
          <w:wAfter w:w="11" w:type="dxa"/>
        </w:trPr>
        <w:tc>
          <w:tcPr>
            <w:tcW w:w="2002" w:type="dxa"/>
            <w:gridSpan w:val="2"/>
            <w:vAlign w:val="center"/>
          </w:tcPr>
          <w:p w:rsidR="00B25AD7" w:rsidRPr="00C941C6" w:rsidRDefault="00B25AD7" w:rsidP="00B25AD7">
            <w:pPr>
              <w:pStyle w:val="a5"/>
              <w:tabs>
                <w:tab w:val="clear" w:pos="4677"/>
                <w:tab w:val="clear" w:pos="9355"/>
                <w:tab w:val="left" w:pos="1260"/>
                <w:tab w:val="left" w:pos="1980"/>
              </w:tabs>
            </w:pPr>
            <w:r w:rsidRPr="00C941C6">
              <w:lastRenderedPageBreak/>
              <w:t>місце поставки товарів</w:t>
            </w:r>
          </w:p>
        </w:tc>
        <w:tc>
          <w:tcPr>
            <w:tcW w:w="7933" w:type="dxa"/>
            <w:gridSpan w:val="2"/>
            <w:vAlign w:val="center"/>
          </w:tcPr>
          <w:p w:rsidR="00B25AD7" w:rsidRPr="005C1FDF" w:rsidRDefault="00B25AD7" w:rsidP="00495B27">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00495B27">
              <w:rPr>
                <w:iCs/>
              </w:rPr>
              <w:t>/1 центральний склад</w:t>
            </w:r>
            <w:r w:rsidRPr="005C1FDF">
              <w:rPr>
                <w:iCs/>
              </w:rPr>
              <w:t>, м. Івано-Франківськ, Україна, 76014</w:t>
            </w:r>
          </w:p>
        </w:tc>
      </w:tr>
      <w:tr w:rsidR="00B25AD7" w:rsidRPr="00C941C6" w:rsidTr="005017C1">
        <w:trPr>
          <w:gridAfter w:val="1"/>
          <w:wAfter w:w="11" w:type="dxa"/>
        </w:trPr>
        <w:tc>
          <w:tcPr>
            <w:tcW w:w="2002" w:type="dxa"/>
            <w:gridSpan w:val="2"/>
            <w:vAlign w:val="center"/>
          </w:tcPr>
          <w:p w:rsidR="00B25AD7" w:rsidRPr="00C941C6" w:rsidRDefault="00B25AD7" w:rsidP="00B25AD7">
            <w:pPr>
              <w:pStyle w:val="a7"/>
              <w:tabs>
                <w:tab w:val="left" w:pos="1260"/>
                <w:tab w:val="left" w:pos="1980"/>
              </w:tabs>
            </w:pPr>
            <w:r w:rsidRPr="00C941C6">
              <w:t>строки поставки товарів</w:t>
            </w:r>
          </w:p>
        </w:tc>
        <w:tc>
          <w:tcPr>
            <w:tcW w:w="7933" w:type="dxa"/>
            <w:gridSpan w:val="2"/>
            <w:vAlign w:val="center"/>
          </w:tcPr>
          <w:p w:rsidR="00B25AD7" w:rsidRPr="0057755D" w:rsidRDefault="00B25AD7" w:rsidP="00DA4ADE">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w:t>
            </w:r>
            <w:r w:rsidR="00DA4ADE">
              <w:rPr>
                <w:bCs/>
                <w:color w:val="000000" w:themeColor="text1"/>
              </w:rPr>
              <w:t>и</w:t>
            </w:r>
            <w:r>
              <w:rPr>
                <w:bCs/>
                <w:color w:val="000000" w:themeColor="text1"/>
              </w:rPr>
              <w:t xml:space="preserve">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5017C1" w:rsidRPr="00C941C6" w:rsidTr="005017C1">
        <w:trPr>
          <w:gridAfter w:val="1"/>
          <w:wAfter w:w="11" w:type="dxa"/>
        </w:trPr>
        <w:tc>
          <w:tcPr>
            <w:tcW w:w="2002" w:type="dxa"/>
            <w:gridSpan w:val="2"/>
            <w:vAlign w:val="center"/>
          </w:tcPr>
          <w:p w:rsidR="005017C1" w:rsidRDefault="005017C1" w:rsidP="005017C1">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5017C1" w:rsidRPr="00A428E4" w:rsidRDefault="005017C1" w:rsidP="005017C1">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7933" w:type="dxa"/>
            <w:gridSpan w:val="2"/>
            <w:vAlign w:val="center"/>
          </w:tcPr>
          <w:p w:rsidR="005017C1" w:rsidRDefault="005017C1" w:rsidP="005017C1">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5017C1" w:rsidRDefault="005017C1" w:rsidP="005017C1">
            <w:pPr>
              <w:pStyle w:val="a5"/>
              <w:tabs>
                <w:tab w:val="clear" w:pos="4677"/>
                <w:tab w:val="clear" w:pos="9355"/>
                <w:tab w:val="left" w:pos="1260"/>
                <w:tab w:val="left" w:pos="1980"/>
              </w:tabs>
              <w:jc w:val="both"/>
            </w:pPr>
            <w:r w:rsidRPr="00E71A07">
              <w:t>Сума фінансування</w:t>
            </w:r>
            <w:r>
              <w:t xml:space="preserve">  заходу </w:t>
            </w:r>
            <w:r w:rsidRPr="00E71A07">
              <w:t xml:space="preserve"> на 2022 рік, визначена Постановою «Про схвалення інвестиційної програми АТ «</w:t>
            </w:r>
            <w:r>
              <w:t>Прикарпаття</w:t>
            </w:r>
            <w:r w:rsidRPr="00E71A07">
              <w:t xml:space="preserve">обленерго» - </w:t>
            </w:r>
            <w:r>
              <w:t xml:space="preserve">становить : розділ 2, п. 2.5.41- </w:t>
            </w:r>
            <w:r w:rsidRPr="0034064A">
              <w:t>Індикатор працездатності схем обліку 13935838.000003-01 КЕ (6,5кВт, Ктт)</w:t>
            </w:r>
            <w:r>
              <w:t xml:space="preserve">- 16,19тис.грн. без ПДВ.; розділ 2, п. 2.5.42- </w:t>
            </w:r>
            <w:r w:rsidRPr="0034064A">
              <w:t>Індикатор працездатності схем обліку 000004-01РЭ (1,4 кВт)</w:t>
            </w:r>
            <w:r>
              <w:t>-8,41 тис.грн. безПДВ.</w:t>
            </w:r>
          </w:p>
          <w:p w:rsidR="005017C1" w:rsidRPr="005C1FDF" w:rsidRDefault="005017C1" w:rsidP="005017C1">
            <w:pPr>
              <w:pStyle w:val="a5"/>
              <w:tabs>
                <w:tab w:val="clear" w:pos="4677"/>
                <w:tab w:val="clear" w:pos="9355"/>
                <w:tab w:val="left" w:pos="1260"/>
                <w:tab w:val="left" w:pos="1980"/>
              </w:tabs>
              <w:jc w:val="both"/>
              <w:rPr>
                <w:b/>
              </w:rPr>
            </w:pPr>
          </w:p>
        </w:tc>
      </w:tr>
      <w:tr w:rsidR="005017C1" w:rsidRPr="00C941C6" w:rsidTr="005017C1">
        <w:trPr>
          <w:gridAfter w:val="1"/>
          <w:wAfter w:w="11" w:type="dxa"/>
        </w:trPr>
        <w:tc>
          <w:tcPr>
            <w:tcW w:w="2002" w:type="dxa"/>
            <w:gridSpan w:val="2"/>
            <w:vAlign w:val="center"/>
          </w:tcPr>
          <w:p w:rsidR="005017C1" w:rsidRPr="001378A5" w:rsidRDefault="005017C1" w:rsidP="005017C1">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7933" w:type="dxa"/>
            <w:gridSpan w:val="2"/>
            <w:vAlign w:val="center"/>
          </w:tcPr>
          <w:p w:rsidR="005017C1" w:rsidRPr="001378A5" w:rsidRDefault="005017C1" w:rsidP="005017C1">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17C1" w:rsidRPr="001378A5" w:rsidRDefault="005017C1" w:rsidP="005017C1">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17C1" w:rsidRPr="001378A5" w:rsidRDefault="005017C1" w:rsidP="005017C1">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17C1" w:rsidRPr="001378A5" w:rsidRDefault="005017C1" w:rsidP="005017C1">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17C1" w:rsidRPr="001378A5" w:rsidRDefault="005017C1" w:rsidP="005017C1">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ленню на підставі абзацу шостого підпункту 2 пункту 41 Особливостей.</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933" w:type="dxa"/>
            <w:gridSpan w:val="2"/>
            <w:vAlign w:val="center"/>
          </w:tcPr>
          <w:p w:rsidR="005017C1" w:rsidRPr="00C941C6" w:rsidRDefault="005017C1" w:rsidP="005017C1">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5017C1" w:rsidRPr="00C941C6" w:rsidTr="005017C1">
        <w:trPr>
          <w:gridAfter w:val="1"/>
          <w:wAfter w:w="11" w:type="dxa"/>
        </w:trPr>
        <w:tc>
          <w:tcPr>
            <w:tcW w:w="2002" w:type="dxa"/>
            <w:gridSpan w:val="2"/>
            <w:vAlign w:val="center"/>
          </w:tcPr>
          <w:p w:rsidR="005017C1" w:rsidRPr="001378A5" w:rsidRDefault="005017C1" w:rsidP="005017C1">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933" w:type="dxa"/>
            <w:gridSpan w:val="2"/>
          </w:tcPr>
          <w:p w:rsidR="005017C1" w:rsidRDefault="005017C1" w:rsidP="005017C1">
            <w:pPr>
              <w:widowControl w:val="0"/>
              <w:jc w:val="both"/>
              <w:rPr>
                <w:color w:val="000000"/>
              </w:rPr>
            </w:pPr>
            <w:r>
              <w:rPr>
                <w:color w:val="000000"/>
              </w:rPr>
              <w:t>Мова тендерної пропозиції – українська.</w:t>
            </w:r>
          </w:p>
          <w:p w:rsidR="005017C1" w:rsidRDefault="005017C1" w:rsidP="005017C1">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5017C1" w:rsidRDefault="005017C1" w:rsidP="005017C1">
            <w:pPr>
              <w:widowControl w:val="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Pr>
                <w:color w:val="000000"/>
              </w:rPr>
              <w:lastRenderedPageBreak/>
              <w:t>національними стандартами, нормами та правилами, викладаються мовою їх загальноприйнятого застосування.</w:t>
            </w:r>
          </w:p>
          <w:p w:rsidR="005017C1" w:rsidRDefault="005017C1" w:rsidP="005017C1">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5017C1" w:rsidRDefault="005017C1" w:rsidP="005017C1">
            <w:pPr>
              <w:widowControl w:val="0"/>
              <w:jc w:val="both"/>
              <w:rPr>
                <w:b/>
                <w:color w:val="000000"/>
              </w:rPr>
            </w:pPr>
            <w:r>
              <w:rPr>
                <w:b/>
                <w:color w:val="000000"/>
              </w:rPr>
              <w:t>Виключення:</w:t>
            </w:r>
          </w:p>
          <w:p w:rsidR="005017C1" w:rsidRDefault="005017C1" w:rsidP="005017C1">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5017C1" w:rsidRDefault="005017C1" w:rsidP="005017C1">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17C1" w:rsidRPr="00C941C6" w:rsidTr="005017C1">
        <w:trPr>
          <w:gridAfter w:val="1"/>
          <w:wAfter w:w="11" w:type="dxa"/>
        </w:trPr>
        <w:tc>
          <w:tcPr>
            <w:tcW w:w="9935" w:type="dxa"/>
            <w:gridSpan w:val="4"/>
            <w:shd w:val="clear" w:color="auto" w:fill="DEEAF6" w:themeFill="accent1" w:themeFillTint="33"/>
            <w:vAlign w:val="center"/>
          </w:tcPr>
          <w:p w:rsidR="005017C1" w:rsidRPr="00C941C6" w:rsidRDefault="005017C1" w:rsidP="005017C1">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5017C1" w:rsidRPr="00C941C6" w:rsidTr="005017C1">
        <w:trPr>
          <w:gridAfter w:val="1"/>
          <w:wAfter w:w="11" w:type="dxa"/>
        </w:trPr>
        <w:tc>
          <w:tcPr>
            <w:tcW w:w="2002" w:type="dxa"/>
            <w:gridSpan w:val="2"/>
            <w:vAlign w:val="center"/>
          </w:tcPr>
          <w:p w:rsidR="005017C1" w:rsidRPr="001378A5" w:rsidRDefault="005017C1" w:rsidP="005017C1">
            <w:pPr>
              <w:pStyle w:val="af2"/>
              <w:rPr>
                <w:lang w:val="uk-UA"/>
              </w:rPr>
            </w:pPr>
            <w:r w:rsidRPr="001378A5">
              <w:rPr>
                <w:lang w:val="uk-UA"/>
              </w:rPr>
              <w:t xml:space="preserve">1. Надання роз’яснень щодо тендерної документації </w:t>
            </w:r>
          </w:p>
        </w:tc>
        <w:tc>
          <w:tcPr>
            <w:tcW w:w="7933" w:type="dxa"/>
            <w:gridSpan w:val="2"/>
          </w:tcPr>
          <w:p w:rsidR="005017C1" w:rsidRDefault="005017C1" w:rsidP="005017C1">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17C1" w:rsidRDefault="005017C1" w:rsidP="005017C1">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17C1" w:rsidRDefault="005017C1" w:rsidP="005017C1">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017C1" w:rsidRDefault="005017C1" w:rsidP="005017C1">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17C1" w:rsidRPr="001378A5" w:rsidRDefault="005017C1" w:rsidP="005017C1">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5017C1" w:rsidRPr="00C941C6" w:rsidTr="005017C1">
        <w:trPr>
          <w:gridAfter w:val="1"/>
          <w:wAfter w:w="11" w:type="dxa"/>
        </w:trPr>
        <w:tc>
          <w:tcPr>
            <w:tcW w:w="2002" w:type="dxa"/>
            <w:gridSpan w:val="2"/>
            <w:vAlign w:val="center"/>
          </w:tcPr>
          <w:p w:rsidR="005017C1" w:rsidRPr="001378A5" w:rsidRDefault="005017C1" w:rsidP="005017C1">
            <w:pPr>
              <w:pStyle w:val="af2"/>
              <w:rPr>
                <w:lang w:val="uk-UA"/>
              </w:rPr>
            </w:pPr>
            <w:r w:rsidRPr="001378A5">
              <w:rPr>
                <w:lang w:val="uk-UA"/>
              </w:rPr>
              <w:t>2. Внесення змін до тендерної документації</w:t>
            </w:r>
          </w:p>
        </w:tc>
        <w:tc>
          <w:tcPr>
            <w:tcW w:w="7933" w:type="dxa"/>
            <w:gridSpan w:val="2"/>
          </w:tcPr>
          <w:p w:rsidR="005017C1" w:rsidRDefault="005017C1" w:rsidP="005017C1">
            <w:pPr>
              <w:widowControl w:val="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Pr>
                <w:highlight w:val="white"/>
              </w:rPr>
              <w:lastRenderedPageBreak/>
              <w:t>подання тендерних пропозицій залишалося не менше чотирьох днів.</w:t>
            </w:r>
          </w:p>
          <w:p w:rsidR="005017C1" w:rsidRDefault="005017C1" w:rsidP="005017C1">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017C1" w:rsidRPr="00C941C6" w:rsidTr="005017C1">
        <w:trPr>
          <w:gridAfter w:val="1"/>
          <w:wAfter w:w="11" w:type="dxa"/>
        </w:trPr>
        <w:tc>
          <w:tcPr>
            <w:tcW w:w="9935" w:type="dxa"/>
            <w:gridSpan w:val="4"/>
            <w:shd w:val="clear" w:color="auto" w:fill="DEEAF6" w:themeFill="accent1" w:themeFillTint="33"/>
            <w:vAlign w:val="center"/>
          </w:tcPr>
          <w:p w:rsidR="005017C1" w:rsidRPr="00C941C6" w:rsidRDefault="005017C1" w:rsidP="005017C1">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1. Зміст і спосіб подання тендерної пропозиції</w:t>
            </w:r>
          </w:p>
        </w:tc>
        <w:tc>
          <w:tcPr>
            <w:tcW w:w="7933" w:type="dxa"/>
            <w:gridSpan w:val="2"/>
            <w:vAlign w:val="center"/>
          </w:tcPr>
          <w:p w:rsidR="005017C1" w:rsidRPr="00C941C6" w:rsidRDefault="005017C1" w:rsidP="005017C1">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5017C1" w:rsidRPr="00C941C6" w:rsidRDefault="005017C1" w:rsidP="005017C1">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017C1" w:rsidRPr="00C941C6" w:rsidRDefault="005017C1" w:rsidP="005017C1">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5017C1" w:rsidRPr="00C941C6" w:rsidRDefault="005017C1" w:rsidP="005017C1">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5017C1"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5017C1" w:rsidRPr="00C417B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5017C1" w:rsidRPr="00175BCF"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p>
          <w:p w:rsidR="005017C1" w:rsidRPr="00106BEF" w:rsidRDefault="005017C1" w:rsidP="005017C1">
            <w:pPr>
              <w:pStyle w:val="a5"/>
              <w:tabs>
                <w:tab w:val="clear" w:pos="4677"/>
                <w:tab w:val="clear" w:pos="9355"/>
                <w:tab w:val="left" w:pos="1260"/>
                <w:tab w:val="left" w:pos="1980"/>
              </w:tabs>
              <w:jc w:val="both"/>
            </w:pPr>
            <w:r w:rsidRPr="00106BEF">
              <w:lastRenderedPageBreak/>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5017C1" w:rsidRPr="00106BEF" w:rsidRDefault="005017C1" w:rsidP="005017C1">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5017C1" w:rsidRPr="00106BEF" w:rsidRDefault="005017C1" w:rsidP="005017C1">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5017C1" w:rsidRPr="00106BEF" w:rsidRDefault="005017C1" w:rsidP="005017C1">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5017C1" w:rsidRDefault="005017C1" w:rsidP="005017C1">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017C1" w:rsidRPr="00405A5B" w:rsidRDefault="005017C1" w:rsidP="005017C1">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5017C1" w:rsidRPr="000E2590" w:rsidRDefault="005017C1" w:rsidP="005017C1">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5017C1" w:rsidRPr="000E2590" w:rsidRDefault="005017C1" w:rsidP="005017C1">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5017C1" w:rsidRPr="00C941C6" w:rsidRDefault="005017C1" w:rsidP="005017C1">
            <w:pPr>
              <w:pStyle w:val="HTML"/>
              <w:jc w:val="both"/>
              <w:rPr>
                <w:rFonts w:ascii="Times New Roman" w:hAnsi="Times New Roman"/>
                <w:color w:val="00B0F0"/>
                <w:sz w:val="24"/>
              </w:rPr>
            </w:pPr>
          </w:p>
          <w:p w:rsidR="005017C1" w:rsidRPr="00C941C6" w:rsidRDefault="005017C1" w:rsidP="005017C1">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5017C1" w:rsidRPr="00C941C6" w:rsidRDefault="005017C1" w:rsidP="005017C1">
            <w:pPr>
              <w:tabs>
                <w:tab w:val="left" w:pos="1260"/>
                <w:tab w:val="left" w:pos="1980"/>
              </w:tabs>
              <w:jc w:val="both"/>
            </w:pPr>
          </w:p>
          <w:p w:rsidR="005017C1" w:rsidRPr="00106BEF" w:rsidRDefault="005017C1" w:rsidP="005017C1">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5017C1" w:rsidRPr="00106BEF" w:rsidRDefault="005017C1" w:rsidP="005017C1">
            <w:pPr>
              <w:tabs>
                <w:tab w:val="left" w:pos="1260"/>
                <w:tab w:val="left" w:pos="1980"/>
              </w:tabs>
              <w:jc w:val="both"/>
            </w:pPr>
          </w:p>
          <w:p w:rsidR="005017C1" w:rsidRPr="00106BEF" w:rsidRDefault="005017C1" w:rsidP="005017C1">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5017C1" w:rsidRPr="00175BCF"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017C1" w:rsidRPr="00175BCF"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Pr="00C941C6">
              <w:rPr>
                <w:rFonts w:ascii="Times New Roman" w:hAnsi="Times New Roman"/>
                <w:sz w:val="24"/>
              </w:rPr>
              <w:t>м печатки (за наявності);</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lastRenderedPageBreak/>
              <w:t>Документи, видані державними органами, повинні відповідати вимогам нормативних актів, відповідно до яких такі документи видані.</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5017C1" w:rsidRPr="00C941C6" w:rsidRDefault="005017C1" w:rsidP="005017C1">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5017C1" w:rsidRPr="00C941C6" w:rsidRDefault="005017C1" w:rsidP="005017C1">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5017C1" w:rsidRPr="00C941C6" w:rsidRDefault="005017C1" w:rsidP="005017C1">
            <w:pPr>
              <w:pStyle w:val="HTML"/>
              <w:jc w:val="both"/>
              <w:rPr>
                <w:rFonts w:ascii="Times New Roman" w:hAnsi="Times New Roman"/>
                <w:sz w:val="24"/>
              </w:rPr>
            </w:pPr>
          </w:p>
          <w:p w:rsidR="005017C1" w:rsidRPr="00C941C6" w:rsidRDefault="005017C1" w:rsidP="005017C1">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5017C1" w:rsidRDefault="005017C1" w:rsidP="005017C1">
            <w:pPr>
              <w:widowControl w:val="0"/>
              <w:jc w:val="both"/>
              <w:rPr>
                <w:b/>
                <w:i/>
              </w:rPr>
            </w:pPr>
            <w:r>
              <w:rPr>
                <w:b/>
                <w:i/>
              </w:rPr>
              <w:t>Опис та приклади формальних несуттєвих помилок.</w:t>
            </w:r>
          </w:p>
          <w:p w:rsidR="005017C1" w:rsidRDefault="005017C1" w:rsidP="005017C1">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17C1" w:rsidRDefault="005017C1" w:rsidP="005017C1">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17C1" w:rsidRPr="00C941C6" w:rsidRDefault="005017C1" w:rsidP="005017C1">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017C1" w:rsidRPr="00C941C6" w:rsidRDefault="005017C1" w:rsidP="005017C1">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5017C1" w:rsidRPr="00C941C6" w:rsidRDefault="005017C1" w:rsidP="005017C1">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017C1" w:rsidRPr="00C941C6" w:rsidRDefault="005017C1" w:rsidP="005017C1">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017C1" w:rsidRPr="00C941C6" w:rsidRDefault="005017C1" w:rsidP="005017C1">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r w:rsidRPr="00C941C6">
              <w:rPr>
                <w:rFonts w:ascii="Times New Roman" w:hAnsi="Times New Roman"/>
                <w:sz w:val="24"/>
              </w:rPr>
              <w:lastRenderedPageBreak/>
              <w:t>закупівель та/або унікального номера повідомлення про намір укласти договір про закупівлю - помилка в цифрах;</w:t>
            </w:r>
          </w:p>
          <w:p w:rsidR="005017C1" w:rsidRPr="00C941C6" w:rsidRDefault="005017C1" w:rsidP="005017C1">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017C1" w:rsidRPr="00C941C6" w:rsidRDefault="005017C1" w:rsidP="005017C1">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017C1" w:rsidRPr="00C941C6" w:rsidRDefault="005017C1" w:rsidP="005017C1">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учасником процедури закупівлі у складі тендерної пропозиції, який засвідчений підписом уповноваженої особи </w:t>
            </w:r>
            <w:r w:rsidRPr="00C941C6">
              <w:rPr>
                <w:rFonts w:ascii="Times New Roman" w:hAnsi="Times New Roman"/>
                <w:sz w:val="24"/>
              </w:rPr>
              <w:lastRenderedPageBreak/>
              <w:t>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17C1" w:rsidRPr="00C941C6" w:rsidRDefault="005017C1" w:rsidP="005017C1">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p>
          <w:p w:rsidR="005017C1" w:rsidRPr="00C941C6" w:rsidRDefault="005017C1" w:rsidP="005017C1">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5017C1" w:rsidRPr="00C941C6" w:rsidRDefault="005017C1" w:rsidP="005017C1">
            <w:pPr>
              <w:pStyle w:val="HTML"/>
              <w:tabs>
                <w:tab w:val="clear" w:pos="916"/>
                <w:tab w:val="clear" w:pos="1832"/>
              </w:tabs>
              <w:jc w:val="both"/>
              <w:rPr>
                <w:rFonts w:ascii="Times New Roman" w:hAnsi="Times New Roman"/>
                <w:sz w:val="24"/>
              </w:rPr>
            </w:pPr>
          </w:p>
          <w:p w:rsidR="005017C1" w:rsidRPr="00405A5B" w:rsidRDefault="005017C1" w:rsidP="005017C1">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5017C1" w:rsidRPr="00C941C6" w:rsidRDefault="005017C1" w:rsidP="005017C1">
            <w:pPr>
              <w:pStyle w:val="HTML"/>
              <w:tabs>
                <w:tab w:val="clear" w:pos="916"/>
                <w:tab w:val="clear" w:pos="1832"/>
              </w:tabs>
              <w:jc w:val="both"/>
              <w:rPr>
                <w:rFonts w:ascii="Times New Roman" w:hAnsi="Times New Roman"/>
                <w:sz w:val="24"/>
              </w:rPr>
            </w:pP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p>
          <w:p w:rsidR="005017C1" w:rsidRPr="00C941C6" w:rsidRDefault="005017C1" w:rsidP="005017C1">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5017C1" w:rsidRPr="00C941C6" w:rsidRDefault="005017C1" w:rsidP="005017C1">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C941C6">
              <w:lastRenderedPageBreak/>
              <w:t xml:space="preserve">відповідно до абзацу </w:t>
            </w:r>
            <w:r>
              <w:t>четвертого</w:t>
            </w:r>
            <w:r w:rsidRPr="00C941C6">
              <w:t xml:space="preserve"> статті 2 Закону України «Про захист персональних даних».</w:t>
            </w:r>
          </w:p>
          <w:p w:rsidR="005017C1" w:rsidRPr="00C941C6" w:rsidRDefault="005017C1" w:rsidP="005017C1">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5017C1" w:rsidRDefault="005017C1" w:rsidP="005017C1">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5017C1" w:rsidRDefault="005017C1" w:rsidP="005017C1">
            <w:pPr>
              <w:pStyle w:val="HTML"/>
              <w:tabs>
                <w:tab w:val="clear" w:pos="916"/>
                <w:tab w:val="clear" w:pos="1832"/>
              </w:tabs>
              <w:jc w:val="both"/>
              <w:rPr>
                <w:rFonts w:ascii="Times New Roman" w:hAnsi="Times New Roman"/>
                <w:sz w:val="24"/>
              </w:rPr>
            </w:pPr>
          </w:p>
          <w:p w:rsidR="005017C1" w:rsidRDefault="005017C1" w:rsidP="005017C1">
            <w:pPr>
              <w:widowControl w:val="0"/>
              <w:jc w:val="both"/>
            </w:pPr>
            <w:r>
              <w:rPr>
                <w:b/>
                <w:i/>
                <w:color w:val="000000"/>
                <w:u w:val="single"/>
              </w:rPr>
              <w:t>Інші умови тендерної документації:</w:t>
            </w:r>
          </w:p>
          <w:p w:rsidR="005017C1" w:rsidRDefault="005017C1" w:rsidP="005017C1">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5017C1" w:rsidRDefault="005017C1" w:rsidP="005017C1">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017C1" w:rsidRDefault="005017C1" w:rsidP="005017C1">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5017C1" w:rsidRDefault="005017C1" w:rsidP="005017C1">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5017C1" w:rsidRDefault="005017C1" w:rsidP="005017C1">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17C1" w:rsidRDefault="005017C1" w:rsidP="005017C1">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017C1" w:rsidRDefault="005017C1" w:rsidP="005017C1">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017C1" w:rsidRDefault="005017C1" w:rsidP="005017C1">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5017C1" w:rsidRDefault="005017C1" w:rsidP="005017C1">
            <w:pPr>
              <w:widowControl w:val="0"/>
              <w:jc w:val="both"/>
              <w:rPr>
                <w:color w:val="000000"/>
              </w:rPr>
            </w:pPr>
            <w:r>
              <w:rPr>
                <w:color w:val="000000"/>
              </w:rPr>
              <w:lastRenderedPageBreak/>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5017C1" w:rsidRDefault="005017C1" w:rsidP="005017C1">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17C1" w:rsidRDefault="005017C1" w:rsidP="005017C1">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17C1" w:rsidRDefault="005017C1" w:rsidP="005017C1">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5017C1" w:rsidRDefault="005017C1" w:rsidP="005017C1">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17C1" w:rsidRDefault="005017C1" w:rsidP="005017C1">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17C1" w:rsidRDefault="005017C1" w:rsidP="005017C1">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17C1" w:rsidRDefault="005017C1" w:rsidP="005017C1">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5017C1" w:rsidRPr="008C25C5" w:rsidRDefault="005017C1" w:rsidP="005017C1">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017C1" w:rsidRDefault="005017C1" w:rsidP="005017C1">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8C25C5">
              <w:rPr>
                <w:rFonts w:ascii="Times New Roman" w:hAnsi="Times New Roman"/>
                <w:color w:val="000000" w:themeColor="text1"/>
                <w:sz w:val="24"/>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17C1" w:rsidRDefault="005017C1" w:rsidP="005017C1">
            <w:pPr>
              <w:pStyle w:val="HTML"/>
              <w:tabs>
                <w:tab w:val="clear" w:pos="916"/>
                <w:tab w:val="clear" w:pos="1832"/>
              </w:tabs>
              <w:jc w:val="both"/>
              <w:rPr>
                <w:rFonts w:ascii="Times New Roman" w:hAnsi="Times New Roman"/>
                <w:sz w:val="24"/>
              </w:rPr>
            </w:pPr>
          </w:p>
          <w:p w:rsidR="005017C1" w:rsidRDefault="005017C1" w:rsidP="005017C1">
            <w:pPr>
              <w:pStyle w:val="HTML"/>
              <w:tabs>
                <w:tab w:val="clear" w:pos="916"/>
                <w:tab w:val="clear" w:pos="1832"/>
              </w:tabs>
              <w:jc w:val="both"/>
              <w:rPr>
                <w:rFonts w:ascii="Times New Roman" w:hAnsi="Times New Roman"/>
                <w:sz w:val="24"/>
              </w:rPr>
            </w:pPr>
          </w:p>
          <w:p w:rsidR="005017C1" w:rsidRDefault="005017C1" w:rsidP="005017C1">
            <w:pPr>
              <w:pStyle w:val="HTML"/>
              <w:tabs>
                <w:tab w:val="clear" w:pos="916"/>
                <w:tab w:val="clear" w:pos="1832"/>
              </w:tabs>
              <w:jc w:val="both"/>
              <w:rPr>
                <w:rFonts w:ascii="Times New Roman" w:hAnsi="Times New Roman"/>
                <w:sz w:val="24"/>
              </w:rPr>
            </w:pPr>
          </w:p>
          <w:p w:rsidR="005017C1" w:rsidRDefault="005017C1" w:rsidP="005017C1">
            <w:pPr>
              <w:pStyle w:val="HTML"/>
              <w:tabs>
                <w:tab w:val="clear" w:pos="916"/>
                <w:tab w:val="clear" w:pos="1832"/>
              </w:tabs>
              <w:jc w:val="both"/>
              <w:rPr>
                <w:rFonts w:ascii="Times New Roman" w:hAnsi="Times New Roman"/>
                <w:sz w:val="24"/>
              </w:rPr>
            </w:pPr>
          </w:p>
          <w:p w:rsidR="005017C1" w:rsidRDefault="005017C1" w:rsidP="005017C1">
            <w:pPr>
              <w:pStyle w:val="HTML"/>
              <w:tabs>
                <w:tab w:val="clear" w:pos="916"/>
                <w:tab w:val="clear" w:pos="1832"/>
              </w:tabs>
              <w:jc w:val="both"/>
              <w:rPr>
                <w:rFonts w:ascii="Times New Roman" w:hAnsi="Times New Roman"/>
                <w:sz w:val="24"/>
              </w:rPr>
            </w:pPr>
          </w:p>
          <w:p w:rsidR="005017C1" w:rsidRPr="00C941C6" w:rsidRDefault="005017C1" w:rsidP="005017C1">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5017C1" w:rsidRPr="00C941C6" w:rsidRDefault="005017C1" w:rsidP="005017C1">
            <w:pPr>
              <w:shd w:val="clear" w:color="auto" w:fill="FFFFFF"/>
              <w:jc w:val="both"/>
            </w:pPr>
          </w:p>
          <w:p w:rsidR="005017C1" w:rsidRPr="00405A5B" w:rsidRDefault="005017C1" w:rsidP="005017C1">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5017C1" w:rsidRPr="00405A5B" w:rsidRDefault="005017C1" w:rsidP="0050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017C1" w:rsidRDefault="005017C1" w:rsidP="005017C1">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5017C1" w:rsidRPr="00175BCF" w:rsidRDefault="005017C1" w:rsidP="005017C1">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017C1" w:rsidRPr="00175BCF" w:rsidRDefault="005017C1" w:rsidP="005017C1">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017C1" w:rsidRPr="00175BCF" w:rsidRDefault="005017C1" w:rsidP="005017C1">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5017C1" w:rsidRPr="00175BCF" w:rsidRDefault="005017C1" w:rsidP="005017C1">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017C1" w:rsidRPr="00175BCF" w:rsidRDefault="005017C1" w:rsidP="005017C1">
            <w:pPr>
              <w:pStyle w:val="HTML"/>
              <w:jc w:val="both"/>
              <w:rPr>
                <w:rFonts w:ascii="Times New Roman" w:hAnsi="Times New Roman"/>
                <w:sz w:val="24"/>
              </w:rPr>
            </w:pPr>
          </w:p>
          <w:p w:rsidR="005017C1" w:rsidRPr="00175BCF" w:rsidRDefault="005017C1" w:rsidP="005017C1">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w:t>
            </w:r>
            <w:r w:rsidRPr="00175BCF">
              <w:lastRenderedPageBreak/>
              <w:t xml:space="preserve">файл у форматі .p7s), повинен бути доступним для перегляду та перевірки замовником. </w:t>
            </w:r>
          </w:p>
          <w:p w:rsidR="005017C1" w:rsidRPr="003E17B1" w:rsidRDefault="005017C1" w:rsidP="005017C1">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5017C1" w:rsidRPr="005D6814" w:rsidRDefault="005017C1" w:rsidP="005017C1">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5017C1" w:rsidRPr="00405A5B" w:rsidRDefault="005017C1" w:rsidP="005017C1">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5017C1" w:rsidRPr="00C941C6" w:rsidRDefault="005017C1" w:rsidP="005017C1">
            <w:pPr>
              <w:jc w:val="both"/>
            </w:pPr>
          </w:p>
          <w:p w:rsidR="005017C1" w:rsidRPr="00C941C6" w:rsidRDefault="005017C1" w:rsidP="0050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5017C1" w:rsidRPr="00C941C6" w:rsidRDefault="005017C1" w:rsidP="0050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017C1" w:rsidRPr="00C941C6" w:rsidRDefault="005017C1" w:rsidP="0050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5017C1" w:rsidRPr="00C941C6" w:rsidRDefault="005017C1" w:rsidP="0050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017C1" w:rsidRPr="00C941C6" w:rsidRDefault="005017C1" w:rsidP="005017C1">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017C1" w:rsidRPr="00405A5B" w:rsidRDefault="005017C1" w:rsidP="005017C1">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5017C1" w:rsidRPr="00C941C6" w:rsidRDefault="005017C1" w:rsidP="005017C1">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5017C1" w:rsidRPr="00C941C6" w:rsidRDefault="005017C1" w:rsidP="005017C1">
            <w:pPr>
              <w:jc w:val="both"/>
            </w:pPr>
          </w:p>
          <w:p w:rsidR="005017C1" w:rsidRPr="00C941C6" w:rsidRDefault="005017C1" w:rsidP="005017C1">
            <w:pPr>
              <w:jc w:val="both"/>
            </w:pPr>
            <w:r w:rsidRPr="001378A5">
              <w:lastRenderedPageBreak/>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5017C1" w:rsidRPr="00C941C6" w:rsidRDefault="005017C1" w:rsidP="005017C1">
            <w:pPr>
              <w:jc w:val="both"/>
            </w:pPr>
          </w:p>
          <w:p w:rsidR="005017C1" w:rsidRPr="00C941C6" w:rsidRDefault="005017C1" w:rsidP="005017C1">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5017C1" w:rsidRPr="00C941C6" w:rsidRDefault="005017C1" w:rsidP="005017C1">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017C1" w:rsidRPr="00C941C6" w:rsidRDefault="005017C1" w:rsidP="005017C1">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017C1" w:rsidRPr="00C941C6" w:rsidRDefault="005017C1" w:rsidP="005017C1">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5017C1" w:rsidRPr="002A58B9"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5017C1" w:rsidRPr="00C941C6" w:rsidRDefault="005017C1" w:rsidP="005017C1">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017C1" w:rsidRPr="00C941C6" w:rsidRDefault="005017C1" w:rsidP="005017C1">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5017C1" w:rsidRPr="00A40106" w:rsidRDefault="005017C1" w:rsidP="005017C1">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933" w:type="dxa"/>
            <w:gridSpan w:val="2"/>
            <w:vAlign w:val="center"/>
          </w:tcPr>
          <w:p w:rsidR="005017C1" w:rsidRPr="002765ED" w:rsidRDefault="005017C1" w:rsidP="005017C1">
            <w:pPr>
              <w:jc w:val="both"/>
              <w:rPr>
                <w:color w:val="000000"/>
                <w:shd w:val="clear" w:color="auto" w:fill="FFFFFF"/>
              </w:rPr>
            </w:pPr>
            <w:r>
              <w:rPr>
                <w:color w:val="000000"/>
                <w:shd w:val="clear" w:color="auto" w:fill="FFFFFF"/>
              </w:rPr>
              <w:t>Не вимагається</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lastRenderedPageBreak/>
              <w:t xml:space="preserve">тендерної пропозиції </w:t>
            </w:r>
          </w:p>
        </w:tc>
        <w:tc>
          <w:tcPr>
            <w:tcW w:w="7933" w:type="dxa"/>
            <w:gridSpan w:val="2"/>
          </w:tcPr>
          <w:p w:rsidR="005017C1" w:rsidRDefault="005017C1" w:rsidP="005017C1">
            <w:pPr>
              <w:pStyle w:val="HTML"/>
              <w:tabs>
                <w:tab w:val="clear" w:pos="916"/>
                <w:tab w:val="clear" w:pos="1832"/>
                <w:tab w:val="num" w:pos="1352"/>
                <w:tab w:val="num" w:pos="2911"/>
              </w:tabs>
              <w:jc w:val="both"/>
              <w:rPr>
                <w:rFonts w:ascii="Times New Roman" w:hAnsi="Times New Roman"/>
                <w:sz w:val="24"/>
              </w:rPr>
            </w:pPr>
          </w:p>
          <w:p w:rsidR="005017C1" w:rsidRDefault="005017C1" w:rsidP="005017C1">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u w:val="single"/>
              </w:rPr>
            </w:pP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933" w:type="dxa"/>
            <w:gridSpan w:val="2"/>
          </w:tcPr>
          <w:p w:rsidR="005017C1" w:rsidRDefault="005017C1" w:rsidP="005017C1">
            <w:pPr>
              <w:pStyle w:val="HTML"/>
              <w:tabs>
                <w:tab w:val="clear" w:pos="916"/>
                <w:tab w:val="clear" w:pos="1832"/>
                <w:tab w:val="num" w:pos="1352"/>
                <w:tab w:val="num" w:pos="2911"/>
              </w:tabs>
              <w:ind w:left="16"/>
              <w:jc w:val="both"/>
              <w:rPr>
                <w:rFonts w:ascii="Times New Roman" w:hAnsi="Times New Roman"/>
                <w:sz w:val="24"/>
              </w:rPr>
            </w:pPr>
          </w:p>
          <w:p w:rsidR="005017C1" w:rsidRDefault="005017C1" w:rsidP="005017C1">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5017C1" w:rsidRPr="00C941C6" w:rsidRDefault="005017C1" w:rsidP="005017C1">
            <w:pPr>
              <w:pStyle w:val="HTML"/>
              <w:tabs>
                <w:tab w:val="clear" w:pos="916"/>
                <w:tab w:val="clear" w:pos="1832"/>
                <w:tab w:val="num" w:pos="1352"/>
                <w:tab w:val="num" w:pos="2911"/>
              </w:tabs>
              <w:ind w:left="16"/>
              <w:jc w:val="both"/>
              <w:rPr>
                <w:rFonts w:ascii="Times New Roman" w:hAnsi="Times New Roman"/>
                <w:sz w:val="24"/>
              </w:rPr>
            </w:pP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933" w:type="dxa"/>
            <w:gridSpan w:val="2"/>
          </w:tcPr>
          <w:p w:rsidR="005017C1" w:rsidRPr="00405A5B" w:rsidRDefault="005017C1" w:rsidP="005017C1">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5017C1" w:rsidRPr="00405A5B" w:rsidRDefault="005017C1" w:rsidP="005017C1">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017C1" w:rsidRPr="00405A5B" w:rsidRDefault="005017C1" w:rsidP="005017C1">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5017C1" w:rsidRPr="00405A5B"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5017C1" w:rsidRPr="00405A5B"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5017C1" w:rsidRPr="00C941C6" w:rsidRDefault="005017C1" w:rsidP="005017C1">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процедури закупівлі</w:t>
            </w:r>
          </w:p>
        </w:tc>
        <w:tc>
          <w:tcPr>
            <w:tcW w:w="7933" w:type="dxa"/>
            <w:gridSpan w:val="2"/>
            <w:vAlign w:val="center"/>
          </w:tcPr>
          <w:p w:rsidR="005017C1" w:rsidRPr="00C941C6" w:rsidRDefault="005017C1" w:rsidP="005017C1">
            <w:pPr>
              <w:pStyle w:val="a5"/>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7. Документи, що підтверджують повноваження</w:t>
            </w:r>
          </w:p>
        </w:tc>
        <w:tc>
          <w:tcPr>
            <w:tcW w:w="7933" w:type="dxa"/>
            <w:gridSpan w:val="2"/>
          </w:tcPr>
          <w:p w:rsidR="005017C1" w:rsidRPr="00C941C6" w:rsidRDefault="005017C1" w:rsidP="005017C1">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5017C1" w:rsidRPr="000675FB"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w:t>
            </w:r>
            <w:r w:rsidRPr="00C941C6">
              <w:rPr>
                <w:rFonts w:ascii="Times New Roman" w:hAnsi="Times New Roman"/>
                <w:sz w:val="24"/>
              </w:rPr>
              <w:lastRenderedPageBreak/>
              <w:t>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5017C1" w:rsidRPr="00C941C6" w:rsidRDefault="005017C1" w:rsidP="005017C1">
            <w:pPr>
              <w:pStyle w:val="HTML"/>
              <w:tabs>
                <w:tab w:val="clear" w:pos="916"/>
                <w:tab w:val="clear" w:pos="1832"/>
                <w:tab w:val="num" w:pos="1260"/>
              </w:tabs>
              <w:jc w:val="both"/>
              <w:rPr>
                <w:rFonts w:ascii="Times New Roman" w:hAnsi="Times New Roman"/>
                <w:color w:val="538135" w:themeColor="accent6" w:themeShade="BF"/>
                <w:sz w:val="24"/>
              </w:rPr>
            </w:pPr>
          </w:p>
          <w:p w:rsidR="005017C1" w:rsidRPr="00C941C6" w:rsidRDefault="005017C1" w:rsidP="005017C1">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017C1" w:rsidRPr="00C941C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lastRenderedPageBreak/>
              <w:t>8. Кваліфікаційні критерії до учасників</w:t>
            </w:r>
            <w:r w:rsidRPr="00663EFE">
              <w:t xml:space="preserve"> процедури закупівлі</w:t>
            </w:r>
            <w:r>
              <w:t xml:space="preserve"> та вимоги згідно з пунктом 28 </w:t>
            </w:r>
          </w:p>
        </w:tc>
        <w:tc>
          <w:tcPr>
            <w:tcW w:w="7933" w:type="dxa"/>
            <w:gridSpan w:val="2"/>
          </w:tcPr>
          <w:p w:rsidR="005017C1" w:rsidRDefault="005017C1" w:rsidP="005017C1">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5017C1" w:rsidRPr="00C941C6" w:rsidRDefault="005017C1" w:rsidP="005017C1">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Pr="00C941C6">
              <w:rPr>
                <w:rFonts w:ascii="Times New Roman" w:hAnsi="Times New Roman"/>
                <w:b/>
                <w:sz w:val="24"/>
                <w:u w:val="single"/>
              </w:rPr>
              <w:t>окументи, що підтверджують відповідність учасника</w:t>
            </w:r>
            <w:r w:rsidRPr="009056A7">
              <w:rPr>
                <w:rFonts w:ascii="Times New Roman" w:hAnsi="Times New Roman"/>
                <w:b/>
                <w:sz w:val="24"/>
                <w:u w:val="single"/>
              </w:rPr>
              <w:t xml:space="preserve"> процедури закупівлі</w:t>
            </w:r>
            <w:r w:rsidRPr="00C941C6">
              <w:rPr>
                <w:rFonts w:ascii="Times New Roman" w:hAnsi="Times New Roman"/>
                <w:b/>
                <w:sz w:val="24"/>
                <w:u w:val="single"/>
              </w:rPr>
              <w:t xml:space="preserve"> кваліфікаційним (кваліфікаційному) критеріям:</w:t>
            </w:r>
          </w:p>
          <w:p w:rsidR="005017C1" w:rsidRPr="00C941C6" w:rsidRDefault="005017C1" w:rsidP="005017C1">
            <w:pPr>
              <w:pStyle w:val="HTML"/>
              <w:tabs>
                <w:tab w:val="clear" w:pos="916"/>
                <w:tab w:val="clear" w:pos="1832"/>
                <w:tab w:val="num" w:pos="1260"/>
              </w:tabs>
              <w:jc w:val="both"/>
              <w:rPr>
                <w:rFonts w:ascii="Times New Roman" w:hAnsi="Times New Roman"/>
                <w:b/>
                <w:i/>
                <w:sz w:val="24"/>
                <w:u w:val="single"/>
              </w:rPr>
            </w:pPr>
          </w:p>
          <w:p w:rsidR="005017C1" w:rsidRPr="00C941C6" w:rsidRDefault="005017C1" w:rsidP="005017C1">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017C1" w:rsidRPr="000675FB" w:rsidRDefault="005017C1" w:rsidP="005017C1">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5017C1" w:rsidRPr="000675FB" w:rsidRDefault="005017C1" w:rsidP="005017C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lastRenderedPageBreak/>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5017C1" w:rsidRPr="000675FB" w:rsidRDefault="005017C1" w:rsidP="005017C1">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5017C1" w:rsidRPr="000675FB" w:rsidRDefault="005017C1" w:rsidP="005017C1">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5017C1" w:rsidRPr="000675FB" w:rsidRDefault="005017C1" w:rsidP="005017C1">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017C1" w:rsidRPr="005C2955" w:rsidRDefault="005017C1" w:rsidP="005017C1">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5017C1" w:rsidRPr="00C941C6" w:rsidRDefault="005017C1" w:rsidP="005017C1">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noProof/>
                <w:sz w:val="24"/>
              </w:rPr>
              <w:t xml:space="preserve">у </w:t>
            </w:r>
            <w:r w:rsidRPr="00C941C6">
              <w:rPr>
                <w:rFonts w:ascii="Times New Roman" w:hAnsi="Times New Roman"/>
                <w:noProof/>
                <w:sz w:val="24"/>
              </w:rPr>
              <w:t>ст</w:t>
            </w:r>
            <w:r>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p>
          <w:p w:rsidR="005017C1" w:rsidRPr="00C941C6" w:rsidRDefault="005017C1" w:rsidP="005017C1">
            <w:pPr>
              <w:jc w:val="both"/>
              <w:rPr>
                <w:lang w:eastAsia="uk-UA"/>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5017C1" w:rsidRPr="00C941C6" w:rsidRDefault="005017C1" w:rsidP="005017C1">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5017C1" w:rsidRPr="00C941C6" w:rsidRDefault="005017C1" w:rsidP="005017C1">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017C1" w:rsidRPr="00C941C6" w:rsidRDefault="005017C1" w:rsidP="005017C1">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017C1" w:rsidRPr="00C941C6" w:rsidRDefault="005017C1" w:rsidP="005017C1">
            <w:pPr>
              <w:jc w:val="both"/>
              <w:rPr>
                <w:lang w:eastAsia="uk-UA"/>
              </w:rPr>
            </w:pPr>
            <w:r w:rsidRPr="00C941C6">
              <w:rPr>
                <w:lang w:eastAsia="uk-UA"/>
              </w:rPr>
              <w:lastRenderedPageBreak/>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5017C1" w:rsidRPr="00C941C6" w:rsidRDefault="005017C1" w:rsidP="005017C1">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933" w:type="dxa"/>
            <w:gridSpan w:val="2"/>
            <w:vAlign w:val="center"/>
          </w:tcPr>
          <w:p w:rsidR="005017C1" w:rsidRPr="00C941C6" w:rsidRDefault="005017C1" w:rsidP="005017C1">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5017C1" w:rsidRPr="00C941C6" w:rsidRDefault="005017C1" w:rsidP="005017C1">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5017C1" w:rsidRDefault="005017C1" w:rsidP="005017C1">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017C1" w:rsidRDefault="005017C1" w:rsidP="005017C1">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017C1" w:rsidRPr="003F5DA8"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5DA8">
              <w:rPr>
                <w:rFonts w:ascii="Times New Roman" w:hAnsi="Times New Roman"/>
                <w:sz w:val="24"/>
              </w:rPr>
              <w:t>паспорти та/або сертифікати якості та/або інструкції з експлуатації та/або технічні описи та/або витяги з сайтів виробників предмету закупівлі</w:t>
            </w:r>
            <w:r>
              <w:rPr>
                <w:rFonts w:ascii="Times New Roman" w:hAnsi="Times New Roman"/>
                <w:sz w:val="24"/>
              </w:rPr>
              <w:t xml:space="preserve"> та/або</w:t>
            </w:r>
            <w:r w:rsidRPr="003F5DA8">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5017C1" w:rsidRPr="003F5DA8" w:rsidRDefault="005017C1" w:rsidP="005017C1">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017C1" w:rsidRPr="00C941C6" w:rsidRDefault="005017C1" w:rsidP="005017C1">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5017C1" w:rsidRDefault="005017C1" w:rsidP="005017C1">
            <w:pPr>
              <w:jc w:val="both"/>
            </w:pPr>
          </w:p>
          <w:p w:rsidR="005017C1" w:rsidRPr="00C941C6" w:rsidRDefault="005017C1" w:rsidP="005017C1">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lastRenderedPageBreak/>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5017C1" w:rsidRPr="00C941C6" w:rsidRDefault="005017C1" w:rsidP="005017C1">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5017C1" w:rsidRPr="00C941C6" w:rsidTr="005017C1">
        <w:trPr>
          <w:gridAfter w:val="1"/>
          <w:wAfter w:w="11" w:type="dxa"/>
        </w:trPr>
        <w:tc>
          <w:tcPr>
            <w:tcW w:w="2002" w:type="dxa"/>
            <w:gridSpan w:val="2"/>
            <w:vAlign w:val="center"/>
          </w:tcPr>
          <w:p w:rsidR="005017C1" w:rsidRPr="00FC2BD9" w:rsidRDefault="005017C1" w:rsidP="005017C1">
            <w:pPr>
              <w:pStyle w:val="a5"/>
              <w:tabs>
                <w:tab w:val="clear" w:pos="4677"/>
                <w:tab w:val="clear" w:pos="9355"/>
                <w:tab w:val="left" w:pos="1260"/>
                <w:tab w:val="left" w:pos="1980"/>
              </w:tabs>
              <w:ind w:left="16"/>
            </w:pPr>
            <w:r>
              <w:lastRenderedPageBreak/>
              <w:t>10.</w:t>
            </w:r>
            <w:r w:rsidRPr="00FC2BD9">
              <w:t>Інформація</w:t>
            </w:r>
          </w:p>
          <w:p w:rsidR="005017C1" w:rsidRPr="00FC2BD9" w:rsidRDefault="005017C1" w:rsidP="005017C1">
            <w:pPr>
              <w:pStyle w:val="a5"/>
              <w:tabs>
                <w:tab w:val="clear" w:pos="4677"/>
                <w:tab w:val="clear" w:pos="9355"/>
                <w:tab w:val="left" w:pos="1260"/>
                <w:tab w:val="left" w:pos="1980"/>
              </w:tabs>
              <w:ind w:left="16"/>
            </w:pPr>
            <w:r w:rsidRPr="00FC2BD9">
              <w:t>щодо підтвердження ступеня локалізації виробництва товару відповідно до</w:t>
            </w:r>
          </w:p>
          <w:p w:rsidR="005017C1" w:rsidRPr="00FC2BD9" w:rsidRDefault="005017C1" w:rsidP="005017C1">
            <w:pPr>
              <w:pStyle w:val="a5"/>
              <w:tabs>
                <w:tab w:val="clear" w:pos="4677"/>
                <w:tab w:val="clear" w:pos="9355"/>
                <w:tab w:val="left" w:pos="1260"/>
                <w:tab w:val="left" w:pos="1980"/>
              </w:tabs>
              <w:ind w:left="16"/>
            </w:pPr>
            <w:r w:rsidRPr="00FC2BD9">
              <w:t xml:space="preserve">Закону України  </w:t>
            </w:r>
          </w:p>
          <w:p w:rsidR="005017C1" w:rsidRPr="00FC2BD9" w:rsidRDefault="005017C1" w:rsidP="005017C1">
            <w:pPr>
              <w:pStyle w:val="a5"/>
              <w:tabs>
                <w:tab w:val="clear" w:pos="4677"/>
                <w:tab w:val="clear" w:pos="9355"/>
                <w:tab w:val="left" w:pos="1260"/>
                <w:tab w:val="left" w:pos="1980"/>
              </w:tabs>
              <w:ind w:left="16"/>
            </w:pPr>
            <w:r w:rsidRPr="00FC2BD9">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017C1" w:rsidRPr="00FC2BD9" w:rsidRDefault="005017C1" w:rsidP="005017C1">
            <w:pPr>
              <w:pStyle w:val="a5"/>
              <w:tabs>
                <w:tab w:val="clear" w:pos="4677"/>
                <w:tab w:val="clear" w:pos="9355"/>
                <w:tab w:val="left" w:pos="1260"/>
                <w:tab w:val="left" w:pos="1980"/>
              </w:tabs>
              <w:ind w:left="16"/>
            </w:pPr>
            <w:r w:rsidRPr="00FC2BD9">
              <w:t>від 16 грудня 2021 р.</w:t>
            </w:r>
          </w:p>
          <w:p w:rsidR="005017C1" w:rsidRPr="00FC2BD9" w:rsidRDefault="005017C1" w:rsidP="005017C1">
            <w:pPr>
              <w:pStyle w:val="a5"/>
              <w:tabs>
                <w:tab w:val="clear" w:pos="4677"/>
                <w:tab w:val="clear" w:pos="9355"/>
                <w:tab w:val="left" w:pos="1260"/>
                <w:tab w:val="left" w:pos="1980"/>
              </w:tabs>
              <w:ind w:left="16"/>
            </w:pPr>
            <w:r w:rsidRPr="00FC2BD9">
              <w:t xml:space="preserve">№1977-IX </w:t>
            </w:r>
          </w:p>
        </w:tc>
        <w:tc>
          <w:tcPr>
            <w:tcW w:w="7933" w:type="dxa"/>
            <w:gridSpan w:val="2"/>
            <w:vAlign w:val="center"/>
          </w:tcPr>
          <w:p w:rsidR="005017C1" w:rsidRPr="00FC2BD9" w:rsidRDefault="005017C1" w:rsidP="005017C1">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shd w:val="clear" w:color="auto" w:fill="FFFFFF"/>
              </w:rPr>
              <w:t>У разі, якщо предмет закупівлі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вартість предмета закупівлі, оголошеного замовником, дорівнює або перевищує                            200 тисяч гривень, замовник здійснює закупівлю, виключно якщо ступінь локалізації виробництва таких товарів дорівнює чи перевищує значення, визначені підпунктом 1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w:t>
            </w:r>
          </w:p>
          <w:p w:rsidR="005017C1" w:rsidRPr="00FC2BD9" w:rsidRDefault="005017C1" w:rsidP="005017C1">
            <w:pPr>
              <w:pStyle w:val="HTML"/>
              <w:tabs>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5017C1" w:rsidRPr="00FC2BD9"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перелік товарів,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017C1" w:rsidRPr="00FC2BD9" w:rsidRDefault="005017C1" w:rsidP="005017C1">
            <w:pPr>
              <w:pStyle w:val="HTML"/>
              <w:tabs>
                <w:tab w:val="num" w:pos="1352"/>
                <w:tab w:val="num" w:pos="2911"/>
              </w:tabs>
              <w:jc w:val="both"/>
              <w:rPr>
                <w:rFonts w:ascii="Times New Roman" w:hAnsi="Times New Roman"/>
                <w:sz w:val="24"/>
                <w:shd w:val="clear" w:color="auto" w:fill="FFFFFF"/>
              </w:rPr>
            </w:pPr>
          </w:p>
          <w:p w:rsidR="005017C1" w:rsidRPr="00FC2BD9" w:rsidRDefault="005017C1" w:rsidP="005017C1">
            <w:pPr>
              <w:shd w:val="clear" w:color="auto" w:fill="FFFFFF"/>
              <w:spacing w:line="253" w:lineRule="atLeast"/>
              <w:jc w:val="both"/>
            </w:pPr>
            <w:r w:rsidRPr="00FC2BD9">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FC2BD9">
              <w:rPr>
                <w:shd w:val="clear" w:color="auto" w:fill="FFFFFF"/>
              </w:rPr>
              <w:t>пункту 6</w:t>
            </w:r>
            <w:r w:rsidRPr="00FC2BD9">
              <w:rPr>
                <w:shd w:val="clear" w:color="auto" w:fill="FFFFFF"/>
                <w:vertAlign w:val="superscript"/>
              </w:rPr>
              <w:t>1</w:t>
            </w:r>
            <w:r w:rsidRPr="00FC2BD9">
              <w:rPr>
                <w:shd w:val="clear" w:color="auto" w:fill="FFFFFF"/>
              </w:rPr>
              <w:t xml:space="preserve"> </w:t>
            </w:r>
            <w:r w:rsidRPr="00FC2BD9">
              <w:t xml:space="preserve">Прикінцевих і перехідних положень Закону </w:t>
            </w:r>
            <w:r w:rsidRPr="00FC2BD9">
              <w:rPr>
                <w:shd w:val="clear" w:color="auto" w:fill="FFFFFF"/>
              </w:rPr>
              <w:t>з врахуванням абзаців третього і четвертого п. 3 Особливостей</w:t>
            </w:r>
            <w:r w:rsidRPr="00FC2BD9">
              <w:t>.</w:t>
            </w:r>
          </w:p>
          <w:p w:rsidR="005017C1" w:rsidRPr="00FC2BD9" w:rsidRDefault="005017C1" w:rsidP="005017C1">
            <w:pPr>
              <w:shd w:val="clear" w:color="auto" w:fill="FFFFFF"/>
              <w:spacing w:line="253" w:lineRule="atLeast"/>
              <w:jc w:val="both"/>
            </w:pPr>
            <w:r w:rsidRPr="00FC2BD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5017C1" w:rsidRPr="00FC2BD9" w:rsidRDefault="005017C1" w:rsidP="005017C1">
            <w:pPr>
              <w:shd w:val="clear" w:color="auto" w:fill="FFFFFF"/>
              <w:spacing w:line="253" w:lineRule="atLeast"/>
              <w:ind w:firstLine="20"/>
              <w:jc w:val="both"/>
            </w:pPr>
            <w:r w:rsidRPr="00FC2BD9">
              <w:t xml:space="preserve">Замовник здійснюватиме закупівлю виключно у випадку, якщо ступінь локалізації виробництва товарів, </w:t>
            </w:r>
            <w:r w:rsidRPr="00FC2BD9">
              <w:rPr>
                <w:shd w:val="clear" w:color="auto" w:fill="FFFFFF"/>
              </w:rPr>
              <w:t>які є в переліку відповідно до підпункту 2 пункту 6</w:t>
            </w:r>
            <w:r w:rsidRPr="00FC2BD9">
              <w:rPr>
                <w:shd w:val="clear" w:color="auto" w:fill="FFFFFF"/>
                <w:vertAlign w:val="superscript"/>
              </w:rPr>
              <w:t>1</w:t>
            </w:r>
            <w:r w:rsidRPr="00FC2BD9">
              <w:rPr>
                <w:shd w:val="clear" w:color="auto" w:fill="FFFFFF"/>
              </w:rPr>
              <w:t xml:space="preserve"> Прикінцевих та перехідних положень Закону з врахуванням абзаців третього і четвертого п. 3 Особливостей,</w:t>
            </w:r>
            <w:r>
              <w:t xml:space="preserve"> дорівнює чи перевищує у 2023</w:t>
            </w:r>
            <w:r w:rsidRPr="00FC2BD9">
              <w:t xml:space="preserve"> році - </w:t>
            </w:r>
            <w:r>
              <w:t>15</w:t>
            </w:r>
            <w:r w:rsidRPr="00FC2BD9">
              <w:t xml:space="preserve"> </w:t>
            </w:r>
            <w:r>
              <w:t>(п'ятнадцять)</w:t>
            </w:r>
            <w:r w:rsidRPr="00FC2BD9">
              <w:t xml:space="preserve"> відсотків.</w:t>
            </w:r>
          </w:p>
          <w:p w:rsidR="005017C1" w:rsidRPr="00FC2BD9" w:rsidRDefault="005017C1" w:rsidP="005017C1">
            <w:pPr>
              <w:shd w:val="clear" w:color="auto" w:fill="FFFFFF"/>
              <w:spacing w:line="253" w:lineRule="atLeast"/>
              <w:jc w:val="both"/>
            </w:pPr>
            <w:r w:rsidRPr="00FC2BD9">
              <w:t>У випадку, якщо ступінь локалізації виробництва менше, ніж визначена підпунктом 1 пункту 6</w:t>
            </w:r>
            <w:r w:rsidRPr="00FC2BD9">
              <w:rPr>
                <w:vertAlign w:val="superscript"/>
              </w:rPr>
              <w:t>1</w:t>
            </w:r>
            <w:r w:rsidRPr="00FC2BD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5017C1" w:rsidRPr="00FC2BD9" w:rsidRDefault="005017C1" w:rsidP="005017C1">
            <w:pPr>
              <w:shd w:val="clear" w:color="auto" w:fill="FFFFFF"/>
              <w:spacing w:line="253" w:lineRule="atLeast"/>
              <w:ind w:firstLine="20"/>
              <w:jc w:val="both"/>
              <w:rPr>
                <w:shd w:val="clear" w:color="auto" w:fill="FFFFFF"/>
              </w:rPr>
            </w:pPr>
          </w:p>
          <w:p w:rsidR="005017C1" w:rsidRPr="00FC2BD9" w:rsidRDefault="005017C1" w:rsidP="005017C1">
            <w:pPr>
              <w:shd w:val="clear" w:color="auto" w:fill="FFFFFF"/>
              <w:spacing w:line="253" w:lineRule="atLeast"/>
              <w:jc w:val="both"/>
            </w:pPr>
            <w:r w:rsidRPr="00FC2BD9">
              <w:rPr>
                <w:shd w:val="clear" w:color="auto" w:fill="FFFFFF"/>
              </w:rPr>
              <w:t>Вимога щодо підтвердження ступеня локалізації виробництва товару не застосовується</w:t>
            </w:r>
            <w:r w:rsidRPr="00FC2BD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FC2BD9">
              <w:rPr>
                <w:shd w:val="clear" w:color="auto" w:fill="FFFFFF"/>
              </w:rPr>
              <w:t>до закупівель товарів, вартість яких дорівнює або перевищує суми, зазначені в</w:t>
            </w:r>
            <w:r w:rsidRPr="00FC2BD9">
              <w:t xml:space="preserve"> наступних </w:t>
            </w:r>
            <w:r w:rsidRPr="00FC2BD9">
              <w:lastRenderedPageBreak/>
              <w:t>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FC2BD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FC2BD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017C1" w:rsidRPr="00FC2BD9" w:rsidRDefault="005017C1" w:rsidP="005017C1">
            <w:pPr>
              <w:shd w:val="clear" w:color="auto" w:fill="FFFFFF"/>
              <w:tabs>
                <w:tab w:val="left" w:pos="7328"/>
              </w:tabs>
              <w:spacing w:line="253" w:lineRule="atLeast"/>
              <w:jc w:val="both"/>
            </w:pPr>
            <w:r w:rsidRPr="00FC2BD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5017C1" w:rsidRPr="00FC2BD9" w:rsidRDefault="005017C1" w:rsidP="005017C1">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rPr>
              <w:t>В такому випадку учасник процедури закупівлі  повинен завантажити в електронну систему закупівель</w:t>
            </w:r>
            <w:r w:rsidRPr="00FC2BD9">
              <w:rPr>
                <w:rFonts w:ascii="Times New Roman" w:hAnsi="Times New Roman"/>
                <w:sz w:val="24"/>
                <w:shd w:val="clear" w:color="auto" w:fill="FFFFFF"/>
              </w:rPr>
              <w:t>:</w:t>
            </w:r>
          </w:p>
          <w:p w:rsidR="005017C1" w:rsidRPr="00FC2BD9"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FC2BD9">
              <w:rPr>
                <w:rFonts w:ascii="Times New Roman" w:hAnsi="Times New Roman"/>
                <w:sz w:val="24"/>
              </w:rPr>
              <w:t xml:space="preserve"> виробництва товару </w:t>
            </w:r>
            <w:r w:rsidRPr="00FC2BD9">
              <w:rPr>
                <w:rFonts w:ascii="Times New Roman" w:hAnsi="Times New Roman"/>
                <w:sz w:val="24"/>
                <w:shd w:val="clear" w:color="auto" w:fill="FFFFFF"/>
              </w:rPr>
              <w:t>з аргументацією одночасного виконання двох умов:</w:t>
            </w:r>
          </w:p>
          <w:p w:rsidR="005017C1" w:rsidRPr="00FC2BD9" w:rsidRDefault="005017C1" w:rsidP="005017C1">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5017C1" w:rsidRPr="00FC2BD9" w:rsidRDefault="005017C1" w:rsidP="005017C1">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017C1" w:rsidRPr="00FC2BD9" w:rsidRDefault="005017C1" w:rsidP="005017C1">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Довідка надається в довільній формі;</w:t>
            </w:r>
          </w:p>
          <w:p w:rsidR="005017C1" w:rsidRPr="00FC2BD9" w:rsidRDefault="005017C1" w:rsidP="005017C1">
            <w:pPr>
              <w:pStyle w:val="HTML"/>
              <w:tabs>
                <w:tab w:val="num" w:pos="2911"/>
              </w:tabs>
              <w:ind w:left="20"/>
              <w:jc w:val="both"/>
              <w:rPr>
                <w:rFonts w:ascii="Times New Roman" w:hAnsi="Times New Roman"/>
                <w:sz w:val="24"/>
              </w:rPr>
            </w:pPr>
            <w:r w:rsidRPr="00FC2BD9">
              <w:rPr>
                <w:rFonts w:ascii="Times New Roman" w:hAnsi="Times New Roman"/>
                <w:sz w:val="24"/>
                <w:shd w:val="clear" w:color="auto" w:fill="FFFFFF"/>
              </w:rPr>
              <w:t xml:space="preserve">- </w:t>
            </w:r>
            <w:r w:rsidRPr="00FC2BD9">
              <w:rPr>
                <w:rFonts w:ascii="Times New Roman" w:hAnsi="Times New Roman"/>
                <w:sz w:val="24"/>
              </w:rPr>
              <w:t xml:space="preserve">сертифікат про походження товару з країни, яка є членом </w:t>
            </w:r>
            <w:r w:rsidRPr="00FC2BD9">
              <w:t xml:space="preserve"> </w:t>
            </w:r>
            <w:r w:rsidRPr="00FC2BD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5017C1" w:rsidRPr="00FC2BD9" w:rsidRDefault="005017C1" w:rsidP="005017C1">
            <w:pPr>
              <w:pStyle w:val="HTML"/>
              <w:tabs>
                <w:tab w:val="num" w:pos="1352"/>
                <w:tab w:val="num" w:pos="2911"/>
              </w:tabs>
              <w:jc w:val="both"/>
              <w:rPr>
                <w:rFonts w:ascii="Times New Roman" w:hAnsi="Times New Roman"/>
                <w:sz w:val="24"/>
              </w:rPr>
            </w:pPr>
            <w:r w:rsidRPr="00FC2BD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5017C1" w:rsidRPr="00FC2BD9" w:rsidRDefault="005017C1" w:rsidP="005017C1">
            <w:pPr>
              <w:widowControl w:val="0"/>
              <w:shd w:val="clear" w:color="auto" w:fill="FFFFFF"/>
              <w:tabs>
                <w:tab w:val="left" w:pos="706"/>
              </w:tabs>
              <w:autoSpaceDE w:val="0"/>
              <w:autoSpaceDN w:val="0"/>
              <w:adjustRightInd w:val="0"/>
              <w:spacing w:line="274" w:lineRule="exact"/>
              <w:jc w:val="both"/>
            </w:pPr>
          </w:p>
          <w:p w:rsidR="005017C1" w:rsidRPr="00FC2BD9" w:rsidRDefault="005017C1" w:rsidP="005017C1">
            <w:pPr>
              <w:widowControl w:val="0"/>
              <w:shd w:val="clear" w:color="auto" w:fill="FFFFFF"/>
              <w:tabs>
                <w:tab w:val="left" w:pos="706"/>
              </w:tabs>
              <w:autoSpaceDE w:val="0"/>
              <w:autoSpaceDN w:val="0"/>
              <w:adjustRightInd w:val="0"/>
              <w:spacing w:line="274" w:lineRule="exact"/>
              <w:jc w:val="both"/>
            </w:pPr>
            <w:r w:rsidRPr="00FC2BD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FC2BD9">
              <w:rPr>
                <w:vertAlign w:val="superscript"/>
              </w:rPr>
              <w:t>1</w:t>
            </w:r>
            <w:r w:rsidRPr="00FC2BD9">
              <w:t xml:space="preserve"> Прикінцевих та перехідних положень Закону </w:t>
            </w:r>
            <w:r w:rsidRPr="00FC2BD9">
              <w:rPr>
                <w:shd w:val="clear" w:color="auto" w:fill="FFFFFF"/>
              </w:rPr>
              <w:t xml:space="preserve"> з врахуванням абзаців третього і четвертого п. 3 Особливостей</w:t>
            </w:r>
            <w:r w:rsidRPr="00FC2BD9">
              <w:t xml:space="preserve">,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w:t>
            </w:r>
            <w:r w:rsidRPr="00FC2BD9">
              <w:lastRenderedPageBreak/>
              <w:t>України), яка підтверджує відповідний ступінь локалізації виробництва.</w:t>
            </w:r>
          </w:p>
          <w:p w:rsidR="005017C1" w:rsidRPr="00FC2BD9" w:rsidRDefault="005017C1" w:rsidP="005017C1">
            <w:pPr>
              <w:widowControl w:val="0"/>
              <w:shd w:val="clear" w:color="auto" w:fill="FFFFFF"/>
              <w:tabs>
                <w:tab w:val="left" w:pos="706"/>
              </w:tabs>
              <w:autoSpaceDE w:val="0"/>
              <w:autoSpaceDN w:val="0"/>
              <w:adjustRightInd w:val="0"/>
              <w:spacing w:line="274" w:lineRule="exact"/>
              <w:jc w:val="both"/>
            </w:pPr>
            <w:r w:rsidRPr="00FC2BD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FC2BD9">
              <w:rPr>
                <w:bCs/>
              </w:rPr>
              <w:t xml:space="preserve"> внесення змін до Угоди про державні закупівлі</w:t>
            </w:r>
            <w:r w:rsidRPr="00FC2BD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FC2BD9">
              <w:rPr>
                <w:bCs/>
              </w:rPr>
              <w:t>Закону України «Про приєднання України до Угоди про державні закупівлі»</w:t>
            </w:r>
            <w:r w:rsidRPr="00FC2BD9">
              <w:t>, що підтверджується сертифікатом про походження товару.</w:t>
            </w:r>
          </w:p>
        </w:tc>
      </w:tr>
      <w:tr w:rsidR="005017C1" w:rsidRPr="00C941C6" w:rsidTr="005017C1">
        <w:trPr>
          <w:gridAfter w:val="1"/>
          <w:wAfter w:w="11" w:type="dxa"/>
        </w:trPr>
        <w:tc>
          <w:tcPr>
            <w:tcW w:w="2002" w:type="dxa"/>
            <w:gridSpan w:val="2"/>
          </w:tcPr>
          <w:p w:rsidR="005017C1" w:rsidRDefault="005017C1" w:rsidP="005017C1">
            <w:r>
              <w:lastRenderedPageBreak/>
              <w:t>11</w:t>
            </w:r>
            <w:r w:rsidRPr="004B033A">
              <w:t>. Інформація про протоколи випробувань або сертифікати, що підтверджують відповідність предмета закупівлі</w:t>
            </w:r>
          </w:p>
        </w:tc>
        <w:tc>
          <w:tcPr>
            <w:tcW w:w="7933" w:type="dxa"/>
            <w:gridSpan w:val="2"/>
          </w:tcPr>
          <w:p w:rsidR="005017C1" w:rsidRDefault="005017C1" w:rsidP="005017C1">
            <w:r>
              <w:t>-------------</w:t>
            </w:r>
          </w:p>
        </w:tc>
      </w:tr>
      <w:tr w:rsidR="005017C1" w:rsidRPr="00C941C6" w:rsidTr="005017C1">
        <w:trPr>
          <w:gridAfter w:val="1"/>
          <w:wAfter w:w="11" w:type="dxa"/>
        </w:trPr>
        <w:tc>
          <w:tcPr>
            <w:tcW w:w="2002" w:type="dxa"/>
            <w:gridSpan w:val="2"/>
            <w:vAlign w:val="center"/>
          </w:tcPr>
          <w:p w:rsidR="005017C1" w:rsidRPr="000E698A" w:rsidRDefault="005017C1" w:rsidP="005017C1">
            <w:pPr>
              <w:pStyle w:val="a5"/>
              <w:tabs>
                <w:tab w:val="clear" w:pos="4677"/>
                <w:tab w:val="clear" w:pos="9355"/>
                <w:tab w:val="left" w:pos="1260"/>
                <w:tab w:val="left" w:pos="1980"/>
              </w:tabs>
            </w:pPr>
            <w:r>
              <w:t>12</w:t>
            </w:r>
            <w:r w:rsidRPr="00C941C6">
              <w:t xml:space="preserve">. Підстави, </w:t>
            </w:r>
            <w:r>
              <w:t>визначені  пунктом 44 Особливостей</w:t>
            </w:r>
          </w:p>
        </w:tc>
        <w:tc>
          <w:tcPr>
            <w:tcW w:w="7933" w:type="dxa"/>
            <w:gridSpan w:val="2"/>
          </w:tcPr>
          <w:p w:rsidR="005017C1" w:rsidRPr="00D45EB3" w:rsidRDefault="005017C1" w:rsidP="005017C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017C1" w:rsidRPr="00D45EB3" w:rsidRDefault="005017C1" w:rsidP="005017C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5017C1" w:rsidRPr="00D45EB3" w:rsidRDefault="005017C1" w:rsidP="005017C1">
            <w:pPr>
              <w:pStyle w:val="HTML"/>
              <w:tabs>
                <w:tab w:val="clear" w:pos="916"/>
                <w:tab w:val="clear" w:pos="1832"/>
                <w:tab w:val="num" w:pos="1352"/>
                <w:tab w:val="num" w:pos="2911"/>
              </w:tabs>
              <w:jc w:val="both"/>
              <w:rPr>
                <w:rFonts w:ascii="Times New Roman" w:hAnsi="Times New Roman"/>
                <w:color w:val="000000" w:themeColor="text1"/>
                <w:sz w:val="24"/>
              </w:rPr>
            </w:pP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D45EB3">
              <w:rPr>
                <w:color w:val="000000" w:themeColor="text1"/>
              </w:rP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17C1" w:rsidRDefault="005017C1" w:rsidP="005017C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17C1" w:rsidRDefault="005017C1" w:rsidP="005017C1">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w:t>
            </w:r>
            <w:r>
              <w:rPr>
                <w:i/>
                <w:sz w:val="20"/>
                <w:szCs w:val="20"/>
              </w:rPr>
              <w:lastRenderedPageBreak/>
              <w:t>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5017C1" w:rsidRDefault="005017C1" w:rsidP="005017C1">
            <w:pPr>
              <w:spacing w:after="80"/>
              <w:jc w:val="both"/>
              <w:rPr>
                <w:b/>
                <w:i/>
                <w:sz w:val="20"/>
                <w:szCs w:val="20"/>
              </w:rPr>
            </w:pPr>
            <w:r>
              <w:rPr>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017C1" w:rsidRPr="00D45EB3" w:rsidRDefault="005017C1" w:rsidP="005017C1">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5017C1" w:rsidRPr="00D45EB3" w:rsidRDefault="005017C1" w:rsidP="005017C1">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017C1" w:rsidRPr="00D45EB3" w:rsidRDefault="005017C1" w:rsidP="005017C1">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у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017C1" w:rsidRPr="00D45EB3" w:rsidRDefault="005017C1" w:rsidP="005017C1">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5017C1" w:rsidRPr="00D45EB3" w:rsidRDefault="005017C1" w:rsidP="005017C1">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lastRenderedPageBreak/>
              <w:t>13</w:t>
            </w:r>
            <w:r w:rsidRPr="00A2624D">
              <w:t xml:space="preserve">. </w:t>
            </w:r>
            <w:r>
              <w:t>Цінова пропозиція</w:t>
            </w:r>
          </w:p>
        </w:tc>
        <w:tc>
          <w:tcPr>
            <w:tcW w:w="7933" w:type="dxa"/>
            <w:gridSpan w:val="2"/>
          </w:tcPr>
          <w:p w:rsidR="005017C1" w:rsidRPr="00C941C6" w:rsidRDefault="005017C1" w:rsidP="005017C1">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5017C1" w:rsidRPr="00C417B6"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5017C1" w:rsidRDefault="005017C1" w:rsidP="005017C1">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5017C1" w:rsidRPr="0010027E" w:rsidRDefault="005017C1" w:rsidP="005017C1">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5017C1" w:rsidRDefault="005017C1" w:rsidP="005017C1">
            <w:pPr>
              <w:pStyle w:val="a5"/>
              <w:tabs>
                <w:tab w:val="left" w:pos="1260"/>
                <w:tab w:val="left" w:pos="1980"/>
              </w:tabs>
              <w:jc w:val="both"/>
            </w:pPr>
            <w:r w:rsidRPr="0010027E">
              <w:lastRenderedPageBreak/>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5017C1" w:rsidRDefault="005017C1" w:rsidP="005017C1">
            <w:pPr>
              <w:pStyle w:val="a5"/>
              <w:tabs>
                <w:tab w:val="left" w:pos="1260"/>
                <w:tab w:val="left" w:pos="1980"/>
              </w:tabs>
              <w:jc w:val="both"/>
            </w:pPr>
          </w:p>
          <w:p w:rsidR="005017C1" w:rsidRPr="00137C87" w:rsidRDefault="005017C1" w:rsidP="005017C1">
            <w:pPr>
              <w:pStyle w:val="a5"/>
              <w:tabs>
                <w:tab w:val="left" w:pos="1260"/>
                <w:tab w:val="left" w:pos="1980"/>
              </w:tabs>
              <w:jc w:val="both"/>
            </w:pPr>
          </w:p>
        </w:tc>
      </w:tr>
      <w:tr w:rsidR="005017C1" w:rsidRPr="00C941C6" w:rsidTr="005017C1">
        <w:trPr>
          <w:gridAfter w:val="1"/>
          <w:wAfter w:w="11" w:type="dxa"/>
          <w:trHeight w:val="384"/>
        </w:trPr>
        <w:tc>
          <w:tcPr>
            <w:tcW w:w="2002" w:type="dxa"/>
            <w:gridSpan w:val="2"/>
            <w:vAlign w:val="center"/>
          </w:tcPr>
          <w:p w:rsidR="005017C1" w:rsidRPr="00131F87" w:rsidRDefault="005017C1" w:rsidP="005017C1">
            <w:pPr>
              <w:pStyle w:val="a5"/>
              <w:tabs>
                <w:tab w:val="clear" w:pos="4677"/>
                <w:tab w:val="clear" w:pos="9355"/>
                <w:tab w:val="left" w:pos="1260"/>
                <w:tab w:val="left" w:pos="1980"/>
              </w:tabs>
              <w:rPr>
                <w:color w:val="FF0000"/>
              </w:rPr>
            </w:pPr>
            <w:r w:rsidRPr="00131F87">
              <w:lastRenderedPageBreak/>
              <w:t>1</w:t>
            </w:r>
            <w:r>
              <w:t>4</w:t>
            </w:r>
            <w:r w:rsidRPr="00131F87">
              <w:t>. Інші умови тендерної документації</w:t>
            </w:r>
          </w:p>
        </w:tc>
        <w:tc>
          <w:tcPr>
            <w:tcW w:w="7933" w:type="dxa"/>
            <w:gridSpan w:val="2"/>
            <w:vAlign w:val="center"/>
          </w:tcPr>
          <w:p w:rsidR="005017C1" w:rsidRPr="005C1FDF" w:rsidRDefault="005017C1" w:rsidP="005017C1">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5017C1" w:rsidRPr="003D524A" w:rsidRDefault="005017C1" w:rsidP="005017C1">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017C1" w:rsidRPr="003D524A" w:rsidRDefault="005017C1" w:rsidP="005017C1">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017C1" w:rsidRDefault="005017C1" w:rsidP="005017C1">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017C1" w:rsidRPr="00411FFD" w:rsidRDefault="005017C1" w:rsidP="005017C1">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5017C1" w:rsidRPr="00411FFD"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5017C1" w:rsidRPr="00411FFD" w:rsidRDefault="005017C1" w:rsidP="005017C1">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017C1" w:rsidRPr="00411FFD" w:rsidRDefault="005017C1" w:rsidP="005017C1">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5017C1" w:rsidRPr="005C1FDF" w:rsidRDefault="005017C1" w:rsidP="005017C1">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5017C1" w:rsidRPr="00C941C6" w:rsidTr="005017C1">
        <w:trPr>
          <w:gridAfter w:val="1"/>
          <w:wAfter w:w="11" w:type="dxa"/>
        </w:trPr>
        <w:tc>
          <w:tcPr>
            <w:tcW w:w="9935" w:type="dxa"/>
            <w:gridSpan w:val="4"/>
            <w:shd w:val="clear" w:color="auto" w:fill="DEEAF6" w:themeFill="accent1" w:themeFillTint="33"/>
            <w:vAlign w:val="center"/>
          </w:tcPr>
          <w:p w:rsidR="005017C1" w:rsidRPr="00C941C6" w:rsidRDefault="005017C1" w:rsidP="005017C1">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933" w:type="dxa"/>
            <w:gridSpan w:val="2"/>
          </w:tcPr>
          <w:p w:rsidR="005017C1" w:rsidRPr="00C941C6" w:rsidRDefault="005017C1" w:rsidP="005017C1">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5017C1" w:rsidRPr="00C941C6" w:rsidRDefault="005017C1" w:rsidP="005017C1">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Pr>
                <w:b/>
                <w:color w:val="000000" w:themeColor="text1"/>
              </w:rPr>
              <w:t xml:space="preserve"> 27 березня </w:t>
            </w:r>
            <w:r w:rsidRPr="00B25AD7">
              <w:rPr>
                <w:b/>
                <w:color w:val="000000" w:themeColor="text1"/>
              </w:rPr>
              <w:t xml:space="preserve"> 2023 р</w:t>
            </w:r>
            <w:r w:rsidRPr="00C941C6">
              <w:rPr>
                <w:b/>
                <w:color w:val="0070C0"/>
              </w:rPr>
              <w:t>.</w:t>
            </w:r>
          </w:p>
          <w:p w:rsidR="005017C1" w:rsidRPr="00C941C6" w:rsidRDefault="005017C1" w:rsidP="005017C1">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5017C1" w:rsidRPr="00C941C6" w:rsidRDefault="005017C1" w:rsidP="005017C1">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5017C1" w:rsidRPr="00131F87" w:rsidRDefault="005017C1" w:rsidP="005017C1">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5017C1" w:rsidRPr="00C941C6" w:rsidRDefault="005017C1" w:rsidP="005017C1">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933" w:type="dxa"/>
            <w:gridSpan w:val="2"/>
          </w:tcPr>
          <w:p w:rsidR="005017C1" w:rsidRPr="00C941C6" w:rsidRDefault="005017C1" w:rsidP="005017C1">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5"/>
              <w:tabs>
                <w:tab w:val="clear" w:pos="4677"/>
                <w:tab w:val="clear" w:pos="9355"/>
                <w:tab w:val="left" w:pos="1260"/>
                <w:tab w:val="left" w:pos="1980"/>
              </w:tabs>
            </w:pPr>
            <w:r w:rsidRPr="00C941C6">
              <w:t>3. Розкриття тендерних пропозицій</w:t>
            </w:r>
          </w:p>
        </w:tc>
        <w:tc>
          <w:tcPr>
            <w:tcW w:w="7933" w:type="dxa"/>
            <w:gridSpan w:val="2"/>
          </w:tcPr>
          <w:p w:rsidR="005017C1" w:rsidRPr="00C941C6" w:rsidRDefault="005017C1" w:rsidP="005017C1">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017C1" w:rsidRPr="00C941C6" w:rsidTr="005017C1">
        <w:trPr>
          <w:gridAfter w:val="1"/>
          <w:wAfter w:w="11" w:type="dxa"/>
        </w:trPr>
        <w:tc>
          <w:tcPr>
            <w:tcW w:w="9935" w:type="dxa"/>
            <w:gridSpan w:val="4"/>
            <w:shd w:val="clear" w:color="auto" w:fill="DEEAF6" w:themeFill="accent1" w:themeFillTint="33"/>
            <w:vAlign w:val="center"/>
          </w:tcPr>
          <w:p w:rsidR="005017C1" w:rsidRPr="00C941C6" w:rsidRDefault="005017C1" w:rsidP="005017C1">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933" w:type="dxa"/>
            <w:gridSpan w:val="2"/>
          </w:tcPr>
          <w:p w:rsidR="005017C1" w:rsidRPr="00C941C6" w:rsidRDefault="005017C1" w:rsidP="005017C1">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Pr>
                <w:color w:val="000000" w:themeColor="text1"/>
                <w:lang w:val="en-US"/>
              </w:rPr>
              <w:t>35</w:t>
            </w:r>
            <w:r>
              <w:rPr>
                <w:color w:val="000000" w:themeColor="text1"/>
              </w:rPr>
              <w:t>,37 і  38</w:t>
            </w:r>
            <w:r w:rsidRPr="00131F87">
              <w:rPr>
                <w:color w:val="000000" w:themeColor="text1"/>
              </w:rPr>
              <w:t xml:space="preserve"> Особливостей.</w:t>
            </w:r>
          </w:p>
          <w:p w:rsidR="005017C1" w:rsidRPr="00131F87" w:rsidRDefault="005017C1" w:rsidP="005017C1">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5017C1" w:rsidRPr="003072DA" w:rsidRDefault="005017C1" w:rsidP="005017C1">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5017C1" w:rsidRPr="003072DA" w:rsidRDefault="005017C1" w:rsidP="005017C1">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5017C1" w:rsidRPr="003072DA" w:rsidRDefault="005017C1" w:rsidP="005017C1">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5017C1" w:rsidRPr="003072DA" w:rsidRDefault="005017C1" w:rsidP="005017C1">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5017C1" w:rsidRPr="00C941C6" w:rsidRDefault="005017C1" w:rsidP="005017C1">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5017C1" w:rsidRPr="00C941C6" w:rsidTr="005017C1">
        <w:trPr>
          <w:gridAfter w:val="1"/>
          <w:wAfter w:w="11" w:type="dxa"/>
        </w:trPr>
        <w:tc>
          <w:tcPr>
            <w:tcW w:w="2002" w:type="dxa"/>
            <w:gridSpan w:val="2"/>
            <w:vAlign w:val="center"/>
          </w:tcPr>
          <w:p w:rsidR="005017C1" w:rsidRPr="00C941C6" w:rsidRDefault="005017C1" w:rsidP="005017C1">
            <w:pPr>
              <w:pStyle w:val="af2"/>
              <w:rPr>
                <w:lang w:val="uk-UA"/>
              </w:rPr>
            </w:pPr>
            <w:r w:rsidRPr="00C941C6">
              <w:rPr>
                <w:lang w:val="uk-UA"/>
              </w:rPr>
              <w:lastRenderedPageBreak/>
              <w:t>2. Розгляд та оцінка тендерних пропозицій</w:t>
            </w:r>
          </w:p>
        </w:tc>
        <w:tc>
          <w:tcPr>
            <w:tcW w:w="7933" w:type="dxa"/>
            <w:gridSpan w:val="2"/>
            <w:vAlign w:val="center"/>
          </w:tcPr>
          <w:p w:rsidR="005017C1" w:rsidRPr="00131F87" w:rsidRDefault="005017C1" w:rsidP="005017C1">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5017C1" w:rsidRPr="00131F87" w:rsidRDefault="005017C1" w:rsidP="005017C1">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5017C1" w:rsidRPr="00131F87" w:rsidRDefault="005017C1" w:rsidP="005017C1">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5017C1" w:rsidRPr="00131F87" w:rsidRDefault="005017C1" w:rsidP="005017C1">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5017C1" w:rsidRPr="00131F87" w:rsidRDefault="005017C1" w:rsidP="005017C1">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5017C1" w:rsidRPr="00131F87" w:rsidRDefault="005017C1" w:rsidP="005017C1">
            <w:pPr>
              <w:pStyle w:val="a5"/>
              <w:tabs>
                <w:tab w:val="left" w:pos="1260"/>
                <w:tab w:val="left" w:pos="1980"/>
              </w:tabs>
              <w:jc w:val="both"/>
              <w:rPr>
                <w:color w:val="000000" w:themeColor="text1"/>
              </w:rPr>
            </w:pPr>
          </w:p>
          <w:p w:rsidR="005017C1" w:rsidRPr="00131F87" w:rsidRDefault="005017C1" w:rsidP="005017C1">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017C1" w:rsidRPr="00131F87" w:rsidRDefault="005017C1" w:rsidP="005017C1">
            <w:pPr>
              <w:pStyle w:val="a5"/>
              <w:tabs>
                <w:tab w:val="left" w:pos="1260"/>
                <w:tab w:val="left" w:pos="1980"/>
              </w:tabs>
              <w:jc w:val="both"/>
              <w:rPr>
                <w:color w:val="000000" w:themeColor="text1"/>
                <w:lang w:eastAsia="uk-UA"/>
              </w:rPr>
            </w:pPr>
          </w:p>
          <w:p w:rsidR="005017C1" w:rsidRPr="00131F87" w:rsidRDefault="005017C1" w:rsidP="005017C1">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017C1" w:rsidRPr="00131F87" w:rsidRDefault="005017C1" w:rsidP="005017C1">
            <w:pPr>
              <w:jc w:val="both"/>
              <w:rPr>
                <w:color w:val="000000" w:themeColor="text1"/>
              </w:rPr>
            </w:pPr>
            <w:bookmarkStart w:id="3" w:name="n487"/>
            <w:bookmarkEnd w:id="3"/>
          </w:p>
          <w:p w:rsidR="005017C1" w:rsidRPr="00131F87" w:rsidRDefault="005017C1" w:rsidP="005017C1">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5017C1" w:rsidRPr="00131F87" w:rsidRDefault="005017C1" w:rsidP="005017C1">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5017C1" w:rsidRPr="00131F87" w:rsidRDefault="005017C1" w:rsidP="005017C1">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017C1" w:rsidRPr="00131F87" w:rsidRDefault="005017C1" w:rsidP="005017C1">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017C1" w:rsidRPr="00131F87" w:rsidRDefault="005017C1" w:rsidP="005017C1">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5017C1" w:rsidRPr="00131F87" w:rsidRDefault="005017C1" w:rsidP="005017C1">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017C1" w:rsidRPr="00131F87" w:rsidRDefault="005017C1" w:rsidP="005017C1">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5017C1" w:rsidRDefault="005017C1" w:rsidP="005017C1">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017C1" w:rsidRPr="00166699" w:rsidRDefault="005017C1" w:rsidP="005017C1">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17C1" w:rsidRPr="00166699" w:rsidRDefault="005017C1" w:rsidP="005017C1">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017C1" w:rsidRDefault="005017C1" w:rsidP="005017C1">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17C1" w:rsidRDefault="005017C1" w:rsidP="005017C1">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017C1" w:rsidRDefault="005017C1" w:rsidP="005017C1">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17C1" w:rsidRDefault="005017C1" w:rsidP="005017C1">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17C1" w:rsidRDefault="005017C1" w:rsidP="005017C1">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5017C1" w:rsidRDefault="005017C1" w:rsidP="005017C1">
            <w:pPr>
              <w:widowControl w:val="0"/>
              <w:jc w:val="both"/>
            </w:pPr>
            <w:r>
              <w:t xml:space="preserve">Замовник розглядає подані тендерні пропозиції з урахуванням </w:t>
            </w:r>
            <w:r>
              <w:lastRenderedPageBreak/>
              <w:t>виправлення або невиправлення учасниками виявлених невідповідностей.</w:t>
            </w:r>
          </w:p>
          <w:p w:rsidR="005017C1" w:rsidRPr="00131F87" w:rsidRDefault="005017C1" w:rsidP="005017C1">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017C1" w:rsidRPr="00C941C6" w:rsidTr="005017C1">
        <w:tc>
          <w:tcPr>
            <w:tcW w:w="2002" w:type="dxa"/>
            <w:gridSpan w:val="2"/>
            <w:vAlign w:val="center"/>
          </w:tcPr>
          <w:p w:rsidR="005017C1" w:rsidRPr="00C941C6" w:rsidRDefault="005017C1" w:rsidP="005017C1">
            <w:pPr>
              <w:pStyle w:val="af2"/>
              <w:rPr>
                <w:lang w:val="uk-UA"/>
              </w:rPr>
            </w:pPr>
            <w:r w:rsidRPr="00C941C6">
              <w:rPr>
                <w:lang w:val="uk-UA"/>
              </w:rPr>
              <w:lastRenderedPageBreak/>
              <w:t>3. Інша інформація</w:t>
            </w:r>
          </w:p>
        </w:tc>
        <w:tc>
          <w:tcPr>
            <w:tcW w:w="7944" w:type="dxa"/>
            <w:gridSpan w:val="3"/>
            <w:vAlign w:val="center"/>
          </w:tcPr>
          <w:p w:rsidR="005017C1" w:rsidRPr="0095025B" w:rsidRDefault="005017C1" w:rsidP="005017C1">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5017C1" w:rsidRPr="0095025B" w:rsidRDefault="005017C1" w:rsidP="005017C1">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17C1" w:rsidRPr="0095025B" w:rsidRDefault="005017C1" w:rsidP="005017C1">
            <w:pPr>
              <w:rPr>
                <w:b/>
                <w:color w:val="000000" w:themeColor="text1"/>
                <w:sz w:val="20"/>
                <w:szCs w:val="20"/>
                <w:highlight w:val="yellow"/>
              </w:rPr>
            </w:pPr>
          </w:p>
          <w:p w:rsidR="005017C1" w:rsidRPr="0095025B" w:rsidRDefault="005017C1" w:rsidP="005017C1">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5017C1"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5017C1" w:rsidRPr="0095025B" w:rsidRDefault="005017C1" w:rsidP="00501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5017C1" w:rsidRPr="0095025B" w:rsidRDefault="005017C1" w:rsidP="005017C1">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5017C1" w:rsidRPr="0095025B" w:rsidRDefault="005017C1" w:rsidP="005017C1">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5017C1"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5017C1" w:rsidRPr="0095025B" w:rsidRDefault="005017C1" w:rsidP="00501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5017C1" w:rsidRPr="0095025B" w:rsidRDefault="005017C1" w:rsidP="00501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5017C1" w:rsidRPr="0095025B" w:rsidRDefault="005017C1" w:rsidP="00501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5017C1" w:rsidRPr="0095025B" w:rsidRDefault="005017C1" w:rsidP="00501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5017C1" w:rsidRPr="0095025B" w:rsidRDefault="005017C1" w:rsidP="00501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5017C1" w:rsidRPr="0095025B" w:rsidRDefault="005017C1" w:rsidP="00501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5017C1" w:rsidRPr="0095025B" w:rsidRDefault="005017C1" w:rsidP="005017C1">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5017C1" w:rsidRPr="0095025B" w:rsidRDefault="005017C1" w:rsidP="00501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5017C1" w:rsidRPr="0095025B" w:rsidRDefault="005017C1" w:rsidP="00501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5017C1" w:rsidRPr="0095025B" w:rsidRDefault="005017C1" w:rsidP="00501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5017C1" w:rsidRPr="0095025B" w:rsidRDefault="005017C1" w:rsidP="00501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5017C1" w:rsidRPr="0095025B" w:rsidRDefault="005017C1" w:rsidP="005017C1">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5017C1" w:rsidRPr="0095025B" w:rsidRDefault="005017C1" w:rsidP="005017C1">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5017C1"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17C1" w:rsidRPr="0095025B" w:rsidRDefault="005017C1" w:rsidP="005017C1">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5017C1" w:rsidRPr="0095025B" w:rsidRDefault="005017C1" w:rsidP="005017C1">
                  <w:pPr>
                    <w:framePr w:hSpace="180" w:wrap="around" w:vAnchor="text" w:hAnchor="text" w:xAlign="right" w:y="1"/>
                    <w:suppressOverlap/>
                    <w:jc w:val="both"/>
                    <w:rPr>
                      <w:b/>
                      <w:color w:val="000000" w:themeColor="text1"/>
                      <w:sz w:val="20"/>
                      <w:szCs w:val="20"/>
                    </w:rPr>
                  </w:pP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 xml:space="preserve">Документ повинен бути не </w:t>
                  </w: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5017C1" w:rsidRPr="0095025B" w:rsidRDefault="005017C1" w:rsidP="005017C1">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5017C1"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5017C1"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017C1" w:rsidRPr="0095025B" w:rsidRDefault="005017C1" w:rsidP="005017C1">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017C1" w:rsidRPr="0095025B" w:rsidRDefault="005017C1" w:rsidP="005017C1">
            <w:pPr>
              <w:rPr>
                <w:b/>
                <w:color w:val="000000" w:themeColor="text1"/>
                <w:sz w:val="20"/>
                <w:szCs w:val="20"/>
              </w:rPr>
            </w:pPr>
          </w:p>
          <w:p w:rsidR="005017C1" w:rsidRPr="0095025B" w:rsidRDefault="005017C1" w:rsidP="005017C1">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5017C1"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5017C1" w:rsidRPr="0095025B" w:rsidRDefault="005017C1" w:rsidP="00501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5017C1" w:rsidRPr="0095025B" w:rsidRDefault="005017C1" w:rsidP="005017C1">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5017C1"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95025B">
                    <w:rPr>
                      <w:b/>
                      <w:color w:val="000000" w:themeColor="text1"/>
                      <w:sz w:val="20"/>
                      <w:szCs w:val="20"/>
                    </w:rPr>
                    <w:lastRenderedPageBreak/>
                    <w:t>правопорушення, яка не стосується запитувача.</w:t>
                  </w:r>
                </w:p>
              </w:tc>
            </w:tr>
            <w:tr w:rsidR="005017C1"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17C1" w:rsidRPr="0095025B" w:rsidRDefault="005017C1" w:rsidP="005017C1">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017C1" w:rsidRPr="0095025B" w:rsidRDefault="005017C1" w:rsidP="005017C1">
                  <w:pPr>
                    <w:framePr w:hSpace="180" w:wrap="around" w:vAnchor="text" w:hAnchor="text" w:xAlign="right" w:y="1"/>
                    <w:suppressOverlap/>
                    <w:jc w:val="both"/>
                    <w:rPr>
                      <w:b/>
                      <w:color w:val="000000" w:themeColor="text1"/>
                      <w:sz w:val="20"/>
                      <w:szCs w:val="20"/>
                    </w:rPr>
                  </w:pPr>
                </w:p>
                <w:p w:rsidR="005017C1" w:rsidRPr="0095025B" w:rsidRDefault="005017C1" w:rsidP="005017C1">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5017C1"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17C1" w:rsidRPr="0095025B" w:rsidRDefault="005017C1" w:rsidP="005017C1">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5017C1"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017C1" w:rsidRPr="0095025B" w:rsidRDefault="005017C1" w:rsidP="005017C1">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7C1" w:rsidRPr="0095025B" w:rsidRDefault="005017C1" w:rsidP="005017C1">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017C1" w:rsidRPr="0095025B" w:rsidRDefault="005017C1" w:rsidP="005017C1">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w:t>
            </w:r>
            <w:r w:rsidRPr="0095025B">
              <w:rPr>
                <w:rFonts w:eastAsia="Calibri"/>
                <w:color w:val="000000" w:themeColor="text1"/>
                <w:lang w:eastAsia="ar-SA"/>
              </w:rPr>
              <w:lastRenderedPageBreak/>
              <w:t xml:space="preserve">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5017C1" w:rsidRPr="0095025B" w:rsidRDefault="005017C1" w:rsidP="005017C1">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5017C1" w:rsidRPr="0095025B" w:rsidRDefault="005017C1" w:rsidP="005017C1">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5017C1" w:rsidRPr="0095025B" w:rsidRDefault="005017C1" w:rsidP="005017C1">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5017C1" w:rsidRPr="0095025B" w:rsidRDefault="005017C1" w:rsidP="005017C1">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5017C1" w:rsidRPr="0095025B"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5017C1" w:rsidRPr="0095025B"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5017C1" w:rsidRPr="0095025B"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5017C1" w:rsidRPr="0095025B" w:rsidRDefault="005017C1" w:rsidP="005017C1">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5017C1" w:rsidRPr="0095025B" w:rsidRDefault="005017C1" w:rsidP="005017C1">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пункту 44 </w:t>
            </w:r>
            <w:r w:rsidRPr="000E201F">
              <w:rPr>
                <w:color w:val="000000" w:themeColor="text1"/>
              </w:rPr>
              <w:t>Особливостей .</w:t>
            </w:r>
          </w:p>
          <w:p w:rsidR="005017C1" w:rsidRPr="0095025B" w:rsidRDefault="005017C1" w:rsidP="005017C1">
            <w:pPr>
              <w:pStyle w:val="a5"/>
              <w:tabs>
                <w:tab w:val="left" w:pos="1260"/>
                <w:tab w:val="left" w:pos="1980"/>
              </w:tabs>
              <w:jc w:val="both"/>
              <w:rPr>
                <w:color w:val="000000" w:themeColor="text1"/>
              </w:rPr>
            </w:pPr>
            <w:r w:rsidRPr="0095025B">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5017C1" w:rsidRPr="0095025B" w:rsidRDefault="005017C1" w:rsidP="005017C1">
            <w:pPr>
              <w:pStyle w:val="a5"/>
              <w:tabs>
                <w:tab w:val="left" w:pos="1260"/>
                <w:tab w:val="left" w:pos="1980"/>
              </w:tabs>
              <w:jc w:val="both"/>
              <w:rPr>
                <w:color w:val="000000" w:themeColor="text1"/>
              </w:rPr>
            </w:pPr>
          </w:p>
          <w:p w:rsidR="005017C1" w:rsidRPr="0095025B" w:rsidRDefault="005017C1" w:rsidP="005017C1">
            <w:pPr>
              <w:pStyle w:val="a5"/>
              <w:tabs>
                <w:tab w:val="left" w:pos="1260"/>
                <w:tab w:val="left" w:pos="1980"/>
              </w:tabs>
              <w:jc w:val="both"/>
              <w:rPr>
                <w:color w:val="000000" w:themeColor="text1"/>
              </w:rPr>
            </w:pPr>
          </w:p>
          <w:p w:rsidR="005017C1" w:rsidRPr="0095025B" w:rsidRDefault="005017C1" w:rsidP="005017C1">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5017C1" w:rsidRPr="0095025B" w:rsidRDefault="005017C1" w:rsidP="005017C1">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5017C1" w:rsidRPr="0095025B" w:rsidRDefault="005017C1" w:rsidP="005017C1">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5017C1" w:rsidRPr="0095025B" w:rsidRDefault="005017C1" w:rsidP="005017C1">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5017C1" w:rsidRPr="0095025B" w:rsidRDefault="005017C1" w:rsidP="005017C1">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5017C1" w:rsidRPr="0095025B" w:rsidRDefault="005017C1" w:rsidP="005017C1">
            <w:pPr>
              <w:spacing w:line="259" w:lineRule="auto"/>
              <w:jc w:val="both"/>
              <w:rPr>
                <w:rFonts w:eastAsia="Calibri"/>
                <w:color w:val="000000" w:themeColor="text1"/>
              </w:rPr>
            </w:pPr>
          </w:p>
          <w:p w:rsidR="005017C1" w:rsidRPr="0095025B" w:rsidRDefault="005017C1" w:rsidP="005017C1">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5017C1" w:rsidRPr="0095025B" w:rsidRDefault="005017C1" w:rsidP="005017C1">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5017C1" w:rsidRPr="0095025B" w:rsidRDefault="005017C1" w:rsidP="005017C1">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017C1" w:rsidRPr="0095025B" w:rsidRDefault="005017C1" w:rsidP="005017C1">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5017C1" w:rsidRPr="0095025B" w:rsidRDefault="005017C1" w:rsidP="005017C1">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5017C1" w:rsidRPr="0095025B" w:rsidRDefault="005017C1" w:rsidP="005017C1">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5017C1" w:rsidRPr="0095025B" w:rsidRDefault="005017C1" w:rsidP="005017C1">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5017C1" w:rsidRPr="0095025B" w:rsidRDefault="005017C1" w:rsidP="005017C1">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5017C1" w:rsidRPr="0095025B" w:rsidRDefault="005017C1" w:rsidP="005017C1">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5017C1" w:rsidRPr="0095025B" w:rsidRDefault="005017C1" w:rsidP="005017C1">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5017C1" w:rsidRPr="0095025B" w:rsidRDefault="005017C1" w:rsidP="005017C1">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5017C1" w:rsidRPr="0095025B" w:rsidRDefault="005017C1" w:rsidP="005017C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5017C1" w:rsidRPr="0095025B" w:rsidRDefault="005017C1" w:rsidP="005017C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5017C1" w:rsidRPr="0095025B" w:rsidRDefault="005017C1" w:rsidP="005017C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5017C1" w:rsidRPr="0095025B" w:rsidRDefault="005017C1" w:rsidP="005017C1">
            <w:pPr>
              <w:pStyle w:val="HTML"/>
              <w:tabs>
                <w:tab w:val="clear" w:pos="916"/>
                <w:tab w:val="clear" w:pos="1832"/>
                <w:tab w:val="num" w:pos="1260"/>
              </w:tabs>
              <w:jc w:val="both"/>
              <w:rPr>
                <w:rFonts w:ascii="Times New Roman" w:hAnsi="Times New Roman"/>
                <w:color w:val="000000" w:themeColor="text1"/>
                <w:sz w:val="24"/>
              </w:rPr>
            </w:pPr>
          </w:p>
          <w:p w:rsidR="005017C1" w:rsidRPr="0095025B" w:rsidRDefault="005017C1" w:rsidP="005017C1">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w:t>
            </w:r>
            <w:r w:rsidRPr="0095025B">
              <w:rPr>
                <w:rFonts w:ascii="Times New Roman" w:hAnsi="Times New Roman"/>
                <w:color w:val="000000" w:themeColor="text1"/>
                <w:sz w:val="24"/>
              </w:rPr>
              <w:lastRenderedPageBreak/>
              <w:t>систему закупівель електронні кольорові копії з сканованих паперових оригіналів):</w:t>
            </w:r>
          </w:p>
          <w:p w:rsidR="005017C1" w:rsidRPr="0095025B" w:rsidRDefault="005017C1" w:rsidP="005017C1">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5017C1" w:rsidRPr="0095025B" w:rsidRDefault="005017C1" w:rsidP="005017C1">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017C1" w:rsidRPr="0095025B" w:rsidRDefault="005017C1" w:rsidP="005017C1">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5017C1" w:rsidRPr="0095025B" w:rsidRDefault="005017C1" w:rsidP="005017C1">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5017C1" w:rsidRPr="0095025B" w:rsidRDefault="005017C1" w:rsidP="005017C1">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017C1" w:rsidRPr="00C941C6" w:rsidTr="005017C1">
        <w:tc>
          <w:tcPr>
            <w:tcW w:w="1883" w:type="dxa"/>
            <w:vAlign w:val="center"/>
          </w:tcPr>
          <w:p w:rsidR="005017C1" w:rsidRPr="00C941C6" w:rsidRDefault="005017C1" w:rsidP="005017C1">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8063" w:type="dxa"/>
            <w:gridSpan w:val="4"/>
            <w:vAlign w:val="center"/>
          </w:tcPr>
          <w:p w:rsidR="005017C1" w:rsidRDefault="005017C1" w:rsidP="005017C1">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5017C1" w:rsidRDefault="005017C1" w:rsidP="005017C1">
            <w:pPr>
              <w:widowControl w:val="0"/>
              <w:spacing w:line="228" w:lineRule="auto"/>
              <w:jc w:val="both"/>
              <w:rPr>
                <w:b/>
                <w:i/>
              </w:rPr>
            </w:pPr>
            <w:r>
              <w:rPr>
                <w:b/>
                <w:i/>
              </w:rPr>
              <w:t>1) учасник процедури закупівлі:</w:t>
            </w:r>
          </w:p>
          <w:p w:rsidR="005017C1" w:rsidRDefault="005017C1" w:rsidP="005017C1">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017C1" w:rsidRPr="008C25C5" w:rsidRDefault="005017C1" w:rsidP="005017C1">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5017C1" w:rsidRPr="008C25C5" w:rsidRDefault="005017C1" w:rsidP="005017C1">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17C1" w:rsidRPr="008C25C5" w:rsidRDefault="005017C1" w:rsidP="005017C1">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5017C1" w:rsidRPr="008C25C5" w:rsidRDefault="005017C1" w:rsidP="005017C1">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017C1" w:rsidRPr="008C25C5" w:rsidRDefault="005017C1" w:rsidP="005017C1">
            <w:pPr>
              <w:widowControl w:val="0"/>
              <w:jc w:val="both"/>
              <w:rPr>
                <w:color w:val="000000" w:themeColor="text1"/>
              </w:rPr>
            </w:pPr>
            <w:r w:rsidRPr="008C25C5">
              <w:rPr>
                <w:color w:val="000000" w:themeColor="text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w:t>
            </w:r>
            <w:r w:rsidRPr="008C25C5">
              <w:rPr>
                <w:color w:val="000000" w:themeColor="text1"/>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17C1" w:rsidRPr="008C25C5" w:rsidRDefault="005017C1" w:rsidP="005017C1">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5017C1" w:rsidRPr="008C25C5" w:rsidRDefault="005017C1" w:rsidP="005017C1">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017C1" w:rsidRPr="008C25C5" w:rsidRDefault="005017C1" w:rsidP="005017C1">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5017C1" w:rsidRDefault="005017C1" w:rsidP="005017C1">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17C1" w:rsidRDefault="005017C1" w:rsidP="005017C1">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5017C1" w:rsidRDefault="005017C1" w:rsidP="005017C1">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5017C1" w:rsidRDefault="005017C1" w:rsidP="005017C1">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5017C1" w:rsidRPr="008C25C5" w:rsidRDefault="005017C1" w:rsidP="005017C1">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5017C1" w:rsidRDefault="005017C1" w:rsidP="005017C1">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5017C1" w:rsidRDefault="005017C1" w:rsidP="005017C1">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5017C1" w:rsidRDefault="005017C1" w:rsidP="005017C1">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017C1" w:rsidRDefault="005017C1" w:rsidP="005017C1">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017C1" w:rsidRDefault="005017C1" w:rsidP="005017C1">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5017C1" w:rsidRDefault="005017C1" w:rsidP="005017C1">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17C1" w:rsidRDefault="005017C1" w:rsidP="005017C1">
            <w:pPr>
              <w:widowControl w:val="0"/>
              <w:pBdr>
                <w:top w:val="nil"/>
                <w:left w:val="nil"/>
                <w:bottom w:val="nil"/>
                <w:right w:val="nil"/>
                <w:between w:val="nil"/>
              </w:pBdr>
              <w:spacing w:line="228" w:lineRule="auto"/>
              <w:jc w:val="both"/>
            </w:pPr>
            <w: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17C1" w:rsidRDefault="005017C1" w:rsidP="005017C1">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017C1" w:rsidRDefault="005017C1" w:rsidP="005017C1">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17C1" w:rsidRPr="00C941C6" w:rsidTr="00753A3D">
        <w:tc>
          <w:tcPr>
            <w:tcW w:w="9946" w:type="dxa"/>
            <w:gridSpan w:val="5"/>
            <w:shd w:val="clear" w:color="auto" w:fill="DEEAF6" w:themeFill="accent1" w:themeFillTint="33"/>
            <w:vAlign w:val="center"/>
          </w:tcPr>
          <w:p w:rsidR="005017C1" w:rsidRPr="00C941C6" w:rsidRDefault="005017C1" w:rsidP="005017C1">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5017C1" w:rsidRPr="00C941C6" w:rsidTr="005017C1">
        <w:tc>
          <w:tcPr>
            <w:tcW w:w="1883" w:type="dxa"/>
            <w:vAlign w:val="center"/>
          </w:tcPr>
          <w:p w:rsidR="005017C1" w:rsidRPr="00131F87" w:rsidRDefault="005017C1" w:rsidP="005017C1">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8063" w:type="dxa"/>
            <w:gridSpan w:val="4"/>
          </w:tcPr>
          <w:p w:rsidR="005017C1" w:rsidRDefault="005017C1" w:rsidP="005017C1">
            <w:pPr>
              <w:widowControl w:val="0"/>
              <w:jc w:val="both"/>
              <w:rPr>
                <w:b/>
                <w:i/>
              </w:rPr>
            </w:pPr>
            <w:r>
              <w:rPr>
                <w:b/>
                <w:i/>
              </w:rPr>
              <w:t>Замовник відміняє відкриті торги у разі:</w:t>
            </w:r>
          </w:p>
          <w:p w:rsidR="005017C1" w:rsidRDefault="005017C1" w:rsidP="005017C1">
            <w:pPr>
              <w:widowControl w:val="0"/>
              <w:jc w:val="both"/>
            </w:pPr>
            <w:r>
              <w:t>1) відсутності подальшої потреби в закупівлі товарів, робіт чи послуг;</w:t>
            </w:r>
          </w:p>
          <w:p w:rsidR="005017C1" w:rsidRDefault="005017C1" w:rsidP="005017C1">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17C1" w:rsidRDefault="005017C1" w:rsidP="005017C1">
            <w:pPr>
              <w:widowControl w:val="0"/>
              <w:jc w:val="both"/>
            </w:pPr>
            <w:r>
              <w:t>3) скорочення обсягу видатків на здійснення закупівлі товарів, робіт чи послуг;</w:t>
            </w:r>
          </w:p>
          <w:p w:rsidR="005017C1" w:rsidRDefault="005017C1" w:rsidP="005017C1">
            <w:pPr>
              <w:widowControl w:val="0"/>
              <w:jc w:val="both"/>
            </w:pPr>
            <w:r>
              <w:t>4) коли здійснення закупівлі стало неможливим внаслідок дії обставин непереборної сили.</w:t>
            </w:r>
          </w:p>
          <w:p w:rsidR="005017C1" w:rsidRDefault="005017C1" w:rsidP="005017C1">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5017C1" w:rsidRDefault="005017C1" w:rsidP="005017C1">
            <w:pPr>
              <w:widowControl w:val="0"/>
              <w:jc w:val="both"/>
              <w:rPr>
                <w:b/>
                <w:i/>
              </w:rPr>
            </w:pPr>
            <w:r>
              <w:rPr>
                <w:b/>
                <w:i/>
              </w:rPr>
              <w:t>Відкриті торги автоматично відміняються електронною системою закупівель у разі:</w:t>
            </w:r>
          </w:p>
          <w:p w:rsidR="005017C1" w:rsidRDefault="005017C1" w:rsidP="005017C1">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5017C1" w:rsidRDefault="005017C1" w:rsidP="005017C1">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5017C1" w:rsidRDefault="005017C1" w:rsidP="005017C1">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017C1" w:rsidRDefault="005017C1" w:rsidP="005017C1">
            <w:pPr>
              <w:widowControl w:val="0"/>
              <w:jc w:val="both"/>
            </w:pPr>
            <w:r>
              <w:t>Відкриті торги можуть бути відмінені частково (за лотом).</w:t>
            </w:r>
          </w:p>
          <w:p w:rsidR="005017C1" w:rsidRPr="00131F87" w:rsidRDefault="005017C1" w:rsidP="005017C1">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5017C1" w:rsidRPr="00C941C6" w:rsidTr="005017C1">
        <w:tc>
          <w:tcPr>
            <w:tcW w:w="1883" w:type="dxa"/>
            <w:vAlign w:val="center"/>
          </w:tcPr>
          <w:p w:rsidR="005017C1" w:rsidRPr="00C941C6" w:rsidRDefault="005017C1" w:rsidP="005017C1">
            <w:pPr>
              <w:pStyle w:val="a5"/>
              <w:tabs>
                <w:tab w:val="clear" w:pos="4677"/>
                <w:tab w:val="clear" w:pos="9355"/>
                <w:tab w:val="left" w:pos="1260"/>
                <w:tab w:val="left" w:pos="1980"/>
              </w:tabs>
            </w:pPr>
            <w:r w:rsidRPr="00C941C6">
              <w:lastRenderedPageBreak/>
              <w:t>2. Строк укладання договору</w:t>
            </w:r>
          </w:p>
        </w:tc>
        <w:tc>
          <w:tcPr>
            <w:tcW w:w="8063" w:type="dxa"/>
            <w:gridSpan w:val="4"/>
          </w:tcPr>
          <w:p w:rsidR="005017C1" w:rsidRDefault="005017C1" w:rsidP="005017C1">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5017C1" w:rsidRDefault="005017C1" w:rsidP="005017C1">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17C1" w:rsidRPr="00131F87" w:rsidRDefault="005017C1" w:rsidP="005017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5017C1" w:rsidRPr="00C941C6" w:rsidTr="005017C1">
        <w:tc>
          <w:tcPr>
            <w:tcW w:w="1883" w:type="dxa"/>
            <w:vAlign w:val="center"/>
          </w:tcPr>
          <w:p w:rsidR="005017C1" w:rsidRPr="00C941C6" w:rsidRDefault="005017C1" w:rsidP="005017C1">
            <w:pPr>
              <w:pStyle w:val="a5"/>
              <w:tabs>
                <w:tab w:val="clear" w:pos="4677"/>
                <w:tab w:val="clear" w:pos="9355"/>
                <w:tab w:val="left" w:pos="1260"/>
                <w:tab w:val="left" w:pos="1980"/>
              </w:tabs>
            </w:pPr>
            <w:r w:rsidRPr="00C941C6">
              <w:t>3. Проект договору про закупівлю</w:t>
            </w:r>
          </w:p>
        </w:tc>
        <w:tc>
          <w:tcPr>
            <w:tcW w:w="8063" w:type="dxa"/>
            <w:gridSpan w:val="4"/>
            <w:vAlign w:val="center"/>
          </w:tcPr>
          <w:p w:rsidR="005017C1" w:rsidRPr="000713BE" w:rsidRDefault="005017C1" w:rsidP="005017C1">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5017C1" w:rsidRPr="000713BE" w:rsidRDefault="005017C1" w:rsidP="005017C1">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5017C1" w:rsidRPr="000713BE"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5017C1" w:rsidRDefault="005017C1" w:rsidP="005017C1">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5017C1" w:rsidRDefault="005017C1" w:rsidP="005017C1">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5017C1" w:rsidRDefault="005017C1" w:rsidP="005017C1">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5017C1" w:rsidRDefault="005017C1" w:rsidP="005017C1">
            <w:pPr>
              <w:widowControl w:val="0"/>
              <w:numPr>
                <w:ilvl w:val="0"/>
                <w:numId w:val="6"/>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5017C1" w:rsidRDefault="005017C1" w:rsidP="005017C1">
            <w:pPr>
              <w:widowControl w:val="0"/>
              <w:numPr>
                <w:ilvl w:val="0"/>
                <w:numId w:val="6"/>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017C1" w:rsidRPr="00C941C6" w:rsidRDefault="005017C1" w:rsidP="005017C1">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5017C1" w:rsidRPr="00C941C6" w:rsidTr="005017C1">
        <w:tc>
          <w:tcPr>
            <w:tcW w:w="1883" w:type="dxa"/>
            <w:vAlign w:val="center"/>
          </w:tcPr>
          <w:p w:rsidR="005017C1" w:rsidRPr="001378A5" w:rsidRDefault="005017C1" w:rsidP="005017C1">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8063" w:type="dxa"/>
            <w:gridSpan w:val="4"/>
            <w:vAlign w:val="center"/>
          </w:tcPr>
          <w:p w:rsidR="005017C1" w:rsidRDefault="005017C1" w:rsidP="005017C1">
            <w:pPr>
              <w:pStyle w:val="HTML"/>
              <w:jc w:val="both"/>
              <w:rPr>
                <w:rFonts w:ascii="Times New Roman" w:hAnsi="Times New Roman"/>
                <w:color w:val="000000" w:themeColor="text1"/>
                <w:sz w:val="24"/>
              </w:rPr>
            </w:pPr>
          </w:p>
          <w:p w:rsidR="005017C1" w:rsidRPr="0095025B" w:rsidRDefault="005017C1" w:rsidP="005017C1">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017C1" w:rsidRPr="0095025B" w:rsidRDefault="005017C1" w:rsidP="005017C1">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17C1" w:rsidRPr="0095025B" w:rsidRDefault="005017C1" w:rsidP="005017C1">
            <w:pPr>
              <w:widowControl w:val="0"/>
              <w:pBdr>
                <w:top w:val="nil"/>
                <w:left w:val="nil"/>
                <w:bottom w:val="nil"/>
                <w:right w:val="nil"/>
                <w:between w:val="nil"/>
              </w:pBdr>
              <w:jc w:val="both"/>
              <w:rPr>
                <w:color w:val="000000" w:themeColor="text1"/>
              </w:rPr>
            </w:pPr>
            <w:r w:rsidRPr="0095025B">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5017C1" w:rsidRPr="0095025B" w:rsidRDefault="005017C1" w:rsidP="005017C1">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5017C1" w:rsidRPr="0095025B" w:rsidRDefault="005017C1" w:rsidP="005017C1">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5017C1" w:rsidRPr="0095025B" w:rsidRDefault="005017C1" w:rsidP="005017C1">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5017C1" w:rsidRPr="00131F87" w:rsidRDefault="005017C1" w:rsidP="005017C1">
            <w:pPr>
              <w:pStyle w:val="HTML"/>
              <w:jc w:val="both"/>
              <w:rPr>
                <w:rFonts w:ascii="Times New Roman" w:hAnsi="Times New Roman"/>
                <w:color w:val="000000" w:themeColor="text1"/>
                <w:sz w:val="24"/>
              </w:rPr>
            </w:pPr>
          </w:p>
          <w:p w:rsidR="005017C1" w:rsidRPr="00131F87" w:rsidRDefault="005017C1" w:rsidP="005017C1">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5017C1" w:rsidRPr="00131F87" w:rsidRDefault="005017C1" w:rsidP="005017C1">
            <w:pPr>
              <w:pStyle w:val="a5"/>
              <w:tabs>
                <w:tab w:val="clear" w:pos="4677"/>
                <w:tab w:val="clear" w:pos="9355"/>
                <w:tab w:val="left" w:pos="1260"/>
                <w:tab w:val="left" w:pos="1980"/>
              </w:tabs>
              <w:jc w:val="both"/>
              <w:rPr>
                <w:color w:val="000000" w:themeColor="text1"/>
              </w:rPr>
            </w:pPr>
          </w:p>
          <w:p w:rsidR="005017C1" w:rsidRPr="00131F87" w:rsidRDefault="005017C1" w:rsidP="005017C1">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5017C1" w:rsidRPr="00131F87" w:rsidRDefault="005017C1" w:rsidP="005017C1">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5017C1" w:rsidRPr="00131F87" w:rsidRDefault="005017C1" w:rsidP="0050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5017C1" w:rsidRPr="00131F87" w:rsidRDefault="005017C1" w:rsidP="005017C1">
            <w:pPr>
              <w:pStyle w:val="HTML"/>
              <w:jc w:val="both"/>
              <w:rPr>
                <w:rFonts w:ascii="Times New Roman" w:hAnsi="Times New Roman"/>
                <w:color w:val="000000" w:themeColor="text1"/>
                <w:sz w:val="24"/>
              </w:rPr>
            </w:pPr>
          </w:p>
          <w:p w:rsidR="005017C1" w:rsidRPr="00131F87" w:rsidRDefault="005017C1" w:rsidP="005017C1">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r>
            <w:r w:rsidRPr="00131F87">
              <w:rPr>
                <w:rFonts w:ascii="Times New Roman" w:hAnsi="Times New Roman"/>
                <w:color w:val="000000" w:themeColor="text1"/>
                <w:sz w:val="24"/>
                <w:lang w:eastAsia="uk-UA"/>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5017C1" w:rsidRPr="001378A5" w:rsidRDefault="005017C1" w:rsidP="005017C1">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5017C1" w:rsidRPr="004400C3" w:rsidRDefault="005017C1" w:rsidP="005017C1">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5017C1" w:rsidRPr="001378A5" w:rsidRDefault="005017C1" w:rsidP="005017C1">
            <w:pPr>
              <w:pStyle w:val="a5"/>
              <w:tabs>
                <w:tab w:val="clear" w:pos="4677"/>
                <w:tab w:val="clear" w:pos="9355"/>
                <w:tab w:val="left" w:pos="1260"/>
                <w:tab w:val="left" w:pos="1980"/>
              </w:tabs>
              <w:jc w:val="both"/>
            </w:pPr>
          </w:p>
          <w:p w:rsidR="005017C1" w:rsidRPr="00131F87" w:rsidRDefault="005017C1" w:rsidP="005017C1">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017C1" w:rsidRPr="00131F87" w:rsidRDefault="005017C1" w:rsidP="005017C1">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5017C1" w:rsidRPr="001378A5" w:rsidRDefault="005017C1" w:rsidP="005017C1">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5017C1" w:rsidRPr="00C941C6" w:rsidTr="005017C1">
        <w:trPr>
          <w:trHeight w:val="530"/>
        </w:trPr>
        <w:tc>
          <w:tcPr>
            <w:tcW w:w="1883" w:type="dxa"/>
            <w:vAlign w:val="center"/>
          </w:tcPr>
          <w:p w:rsidR="005017C1" w:rsidRPr="00C941C6" w:rsidRDefault="005017C1" w:rsidP="005017C1">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8063" w:type="dxa"/>
            <w:gridSpan w:val="4"/>
          </w:tcPr>
          <w:p w:rsidR="005017C1" w:rsidRPr="00131F87" w:rsidRDefault="005017C1" w:rsidP="005017C1">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5017C1" w:rsidRPr="00131F87" w:rsidRDefault="005017C1" w:rsidP="005017C1">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w:t>
            </w:r>
            <w:r w:rsidRPr="00131F87">
              <w:rPr>
                <w:color w:val="000000" w:themeColor="text1"/>
                <w:lang w:eastAsia="uk-UA"/>
              </w:rPr>
              <w:lastRenderedPageBreak/>
              <w:t xml:space="preserve">порядку та на умовах, визначених статтею 33 Закону </w:t>
            </w:r>
            <w:r w:rsidRPr="00131F87">
              <w:rPr>
                <w:color w:val="000000" w:themeColor="text1"/>
              </w:rPr>
              <w:t>з врахуванням пункту 46 Особливостей.</w:t>
            </w:r>
          </w:p>
        </w:tc>
      </w:tr>
      <w:tr w:rsidR="005017C1" w:rsidRPr="00C941C6" w:rsidTr="005017C1">
        <w:tc>
          <w:tcPr>
            <w:tcW w:w="1883" w:type="dxa"/>
            <w:vAlign w:val="center"/>
          </w:tcPr>
          <w:p w:rsidR="005017C1" w:rsidRPr="00C941C6" w:rsidRDefault="005017C1" w:rsidP="005017C1">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063" w:type="dxa"/>
            <w:gridSpan w:val="4"/>
            <w:vAlign w:val="center"/>
          </w:tcPr>
          <w:p w:rsidR="005017C1" w:rsidRPr="00131F87" w:rsidRDefault="005017C1" w:rsidP="005017C1">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5017C1" w:rsidRPr="00C941C6" w:rsidRDefault="005017C1" w:rsidP="005017C1">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5017C1" w:rsidRPr="00E336F0" w:rsidRDefault="005017C1" w:rsidP="005017C1">
      <w:pPr>
        <w:jc w:val="center"/>
        <w:rPr>
          <w:b/>
          <w:lang w:val="ru-RU"/>
        </w:rPr>
      </w:pPr>
      <w:r w:rsidRPr="00E336F0">
        <w:rPr>
          <w:b/>
          <w:lang w:val="ru-RU"/>
        </w:rPr>
        <w:t>ДОГОВІР № _______</w:t>
      </w:r>
      <w:r w:rsidRPr="00E336F0">
        <w:rPr>
          <w:b/>
        </w:rPr>
        <w:t>/</w:t>
      </w:r>
      <w:r w:rsidRPr="00E336F0">
        <w:rPr>
          <w:b/>
          <w:lang w:val="ru-RU"/>
        </w:rPr>
        <w:t>__</w:t>
      </w:r>
    </w:p>
    <w:p w:rsidR="005017C1" w:rsidRPr="00E336F0" w:rsidRDefault="005017C1" w:rsidP="005017C1">
      <w:pPr>
        <w:jc w:val="center"/>
        <w:rPr>
          <w:b/>
          <w:lang w:val="ru-RU"/>
        </w:rPr>
      </w:pPr>
      <w:r w:rsidRPr="00E336F0">
        <w:rPr>
          <w:b/>
          <w:lang w:val="ru-RU"/>
        </w:rPr>
        <w:t>про закупівлю товарів</w:t>
      </w:r>
    </w:p>
    <w:p w:rsidR="005017C1" w:rsidRPr="00E336F0" w:rsidRDefault="005017C1" w:rsidP="005017C1">
      <w:pPr>
        <w:jc w:val="center"/>
        <w:rPr>
          <w:b/>
        </w:rPr>
      </w:pPr>
    </w:p>
    <w:p w:rsidR="005017C1" w:rsidRPr="00E336F0" w:rsidRDefault="005017C1" w:rsidP="005017C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3</w:t>
      </w:r>
      <w:r w:rsidRPr="00E336F0">
        <w:rPr>
          <w:lang w:val="ru-RU"/>
        </w:rPr>
        <w:t xml:space="preserve"> р.</w:t>
      </w:r>
    </w:p>
    <w:p w:rsidR="005017C1" w:rsidRPr="00E336F0" w:rsidRDefault="005017C1" w:rsidP="005017C1">
      <w:pPr>
        <w:jc w:val="center"/>
      </w:pPr>
    </w:p>
    <w:p w:rsidR="005017C1" w:rsidRPr="00E336F0" w:rsidRDefault="005017C1" w:rsidP="005017C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5017C1" w:rsidRPr="00E336F0" w:rsidRDefault="005017C1" w:rsidP="005017C1">
      <w:pPr>
        <w:jc w:val="both"/>
        <w:rPr>
          <w:lang w:val="ru-RU"/>
        </w:rPr>
      </w:pPr>
    </w:p>
    <w:p w:rsidR="005017C1" w:rsidRPr="00E336F0" w:rsidRDefault="005017C1" w:rsidP="005017C1">
      <w:pPr>
        <w:numPr>
          <w:ilvl w:val="0"/>
          <w:numId w:val="1"/>
        </w:numPr>
        <w:contextualSpacing/>
        <w:jc w:val="center"/>
        <w:rPr>
          <w:lang w:val="en-US"/>
        </w:rPr>
      </w:pPr>
      <w:r w:rsidRPr="00E336F0">
        <w:rPr>
          <w:b/>
          <w:lang w:val="ru-RU"/>
        </w:rPr>
        <w:t>ПРЕДМЕТ ДОГОВОРУ</w:t>
      </w:r>
    </w:p>
    <w:p w:rsidR="005017C1" w:rsidRPr="00E336F0" w:rsidRDefault="005017C1" w:rsidP="005017C1">
      <w:pPr>
        <w:numPr>
          <w:ilvl w:val="1"/>
          <w:numId w:val="1"/>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5017C1" w:rsidRPr="00E336F0" w:rsidRDefault="005017C1" w:rsidP="005017C1">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5017C1" w:rsidRPr="00E336F0" w:rsidTr="00F476EA">
        <w:tc>
          <w:tcPr>
            <w:tcW w:w="426" w:type="dxa"/>
            <w:vAlign w:val="center"/>
          </w:tcPr>
          <w:p w:rsidR="005017C1" w:rsidRPr="007C175E" w:rsidRDefault="005017C1" w:rsidP="00F476EA">
            <w:pPr>
              <w:jc w:val="center"/>
              <w:rPr>
                <w:b/>
                <w:sz w:val="20"/>
                <w:szCs w:val="20"/>
              </w:rPr>
            </w:pPr>
            <w:r w:rsidRPr="007C175E">
              <w:rPr>
                <w:b/>
                <w:sz w:val="20"/>
                <w:szCs w:val="20"/>
              </w:rPr>
              <w:t>№ п/п</w:t>
            </w:r>
          </w:p>
        </w:tc>
        <w:tc>
          <w:tcPr>
            <w:tcW w:w="3969" w:type="dxa"/>
            <w:vAlign w:val="center"/>
          </w:tcPr>
          <w:p w:rsidR="005017C1" w:rsidRPr="007C175E" w:rsidRDefault="005017C1" w:rsidP="00F476EA">
            <w:pPr>
              <w:jc w:val="center"/>
              <w:rPr>
                <w:b/>
                <w:sz w:val="20"/>
                <w:szCs w:val="20"/>
              </w:rPr>
            </w:pPr>
            <w:r>
              <w:rPr>
                <w:b/>
                <w:sz w:val="20"/>
                <w:szCs w:val="20"/>
              </w:rPr>
              <w:t>Предмет закупівлі</w:t>
            </w:r>
          </w:p>
        </w:tc>
        <w:tc>
          <w:tcPr>
            <w:tcW w:w="708" w:type="dxa"/>
            <w:vAlign w:val="center"/>
          </w:tcPr>
          <w:p w:rsidR="005017C1" w:rsidRPr="007C175E" w:rsidRDefault="005017C1" w:rsidP="00F476EA">
            <w:pPr>
              <w:jc w:val="center"/>
              <w:rPr>
                <w:b/>
                <w:sz w:val="20"/>
                <w:szCs w:val="20"/>
              </w:rPr>
            </w:pPr>
            <w:r w:rsidRPr="007C175E">
              <w:rPr>
                <w:b/>
                <w:sz w:val="20"/>
                <w:szCs w:val="20"/>
              </w:rPr>
              <w:t>Од. вим.</w:t>
            </w:r>
          </w:p>
        </w:tc>
        <w:tc>
          <w:tcPr>
            <w:tcW w:w="709" w:type="dxa"/>
            <w:vAlign w:val="center"/>
          </w:tcPr>
          <w:p w:rsidR="005017C1" w:rsidRPr="007C175E" w:rsidRDefault="005017C1" w:rsidP="00F476EA">
            <w:pPr>
              <w:jc w:val="center"/>
              <w:rPr>
                <w:b/>
                <w:sz w:val="20"/>
                <w:szCs w:val="20"/>
              </w:rPr>
            </w:pPr>
            <w:r w:rsidRPr="007C175E">
              <w:rPr>
                <w:b/>
                <w:sz w:val="20"/>
                <w:szCs w:val="20"/>
              </w:rPr>
              <w:t>Кіль-кість</w:t>
            </w:r>
          </w:p>
        </w:tc>
        <w:tc>
          <w:tcPr>
            <w:tcW w:w="1276" w:type="dxa"/>
            <w:vAlign w:val="center"/>
          </w:tcPr>
          <w:p w:rsidR="005017C1" w:rsidRPr="007C175E" w:rsidRDefault="005017C1" w:rsidP="00F476EA">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5017C1" w:rsidRPr="007C175E" w:rsidRDefault="005017C1" w:rsidP="00F476EA">
            <w:pPr>
              <w:rPr>
                <w:b/>
                <w:sz w:val="20"/>
                <w:szCs w:val="20"/>
              </w:rPr>
            </w:pPr>
            <w:r>
              <w:rPr>
                <w:b/>
                <w:sz w:val="20"/>
                <w:szCs w:val="20"/>
              </w:rPr>
              <w:t>Сума</w:t>
            </w:r>
            <w:r w:rsidRPr="007C175E">
              <w:rPr>
                <w:b/>
                <w:sz w:val="20"/>
                <w:szCs w:val="20"/>
              </w:rPr>
              <w:t>, грн. без ПДВ</w:t>
            </w:r>
          </w:p>
        </w:tc>
        <w:tc>
          <w:tcPr>
            <w:tcW w:w="1701" w:type="dxa"/>
            <w:vAlign w:val="center"/>
          </w:tcPr>
          <w:p w:rsidR="005017C1" w:rsidRPr="00DA57E4" w:rsidRDefault="005017C1" w:rsidP="00F476EA">
            <w:pPr>
              <w:rPr>
                <w:b/>
                <w:sz w:val="20"/>
                <w:szCs w:val="20"/>
              </w:rPr>
            </w:pPr>
            <w:r w:rsidRPr="00DA57E4">
              <w:rPr>
                <w:b/>
                <w:sz w:val="20"/>
                <w:szCs w:val="20"/>
              </w:rPr>
              <w:t>Підприємство-виробник,кра-їна-виробник</w:t>
            </w:r>
          </w:p>
        </w:tc>
      </w:tr>
      <w:tr w:rsidR="005017C1" w:rsidRPr="00E336F0" w:rsidTr="00F476EA">
        <w:tc>
          <w:tcPr>
            <w:tcW w:w="426" w:type="dxa"/>
            <w:vAlign w:val="center"/>
          </w:tcPr>
          <w:p w:rsidR="005017C1" w:rsidRPr="00E336F0" w:rsidRDefault="005017C1" w:rsidP="00F476EA">
            <w:r w:rsidRPr="00E336F0">
              <w:t>1</w:t>
            </w:r>
          </w:p>
        </w:tc>
        <w:tc>
          <w:tcPr>
            <w:tcW w:w="3969" w:type="dxa"/>
            <w:vAlign w:val="center"/>
          </w:tcPr>
          <w:p w:rsidR="005017C1" w:rsidRPr="00E336F0" w:rsidRDefault="005017C1" w:rsidP="00F476EA"/>
        </w:tc>
        <w:tc>
          <w:tcPr>
            <w:tcW w:w="708" w:type="dxa"/>
            <w:vAlign w:val="center"/>
          </w:tcPr>
          <w:p w:rsidR="005017C1" w:rsidRPr="00E336F0" w:rsidRDefault="005017C1" w:rsidP="00F476EA"/>
        </w:tc>
        <w:tc>
          <w:tcPr>
            <w:tcW w:w="709" w:type="dxa"/>
            <w:vAlign w:val="center"/>
          </w:tcPr>
          <w:p w:rsidR="005017C1" w:rsidRPr="00E336F0" w:rsidRDefault="005017C1" w:rsidP="00F476EA"/>
        </w:tc>
        <w:tc>
          <w:tcPr>
            <w:tcW w:w="1276" w:type="dxa"/>
            <w:vAlign w:val="center"/>
          </w:tcPr>
          <w:p w:rsidR="005017C1" w:rsidRPr="00E336F0" w:rsidRDefault="005017C1" w:rsidP="00F476EA"/>
        </w:tc>
        <w:tc>
          <w:tcPr>
            <w:tcW w:w="1276" w:type="dxa"/>
            <w:vAlign w:val="center"/>
          </w:tcPr>
          <w:p w:rsidR="005017C1" w:rsidRPr="00E336F0" w:rsidRDefault="005017C1" w:rsidP="00F476EA"/>
        </w:tc>
        <w:tc>
          <w:tcPr>
            <w:tcW w:w="1701" w:type="dxa"/>
            <w:vAlign w:val="center"/>
          </w:tcPr>
          <w:p w:rsidR="005017C1" w:rsidRPr="00E336F0" w:rsidRDefault="005017C1" w:rsidP="00F476EA"/>
        </w:tc>
      </w:tr>
      <w:tr w:rsidR="005017C1" w:rsidRPr="00E336F0" w:rsidTr="00F476EA">
        <w:tc>
          <w:tcPr>
            <w:tcW w:w="426" w:type="dxa"/>
            <w:vAlign w:val="center"/>
          </w:tcPr>
          <w:p w:rsidR="005017C1" w:rsidRPr="00E336F0" w:rsidRDefault="005017C1" w:rsidP="00F476EA">
            <w:r w:rsidRPr="00E336F0">
              <w:t>2</w:t>
            </w:r>
          </w:p>
        </w:tc>
        <w:tc>
          <w:tcPr>
            <w:tcW w:w="3969" w:type="dxa"/>
            <w:vAlign w:val="center"/>
          </w:tcPr>
          <w:p w:rsidR="005017C1" w:rsidRPr="00E336F0" w:rsidRDefault="005017C1" w:rsidP="00F476EA"/>
        </w:tc>
        <w:tc>
          <w:tcPr>
            <w:tcW w:w="708" w:type="dxa"/>
            <w:vAlign w:val="center"/>
          </w:tcPr>
          <w:p w:rsidR="005017C1" w:rsidRPr="00E336F0" w:rsidRDefault="005017C1" w:rsidP="00F476EA"/>
        </w:tc>
        <w:tc>
          <w:tcPr>
            <w:tcW w:w="709" w:type="dxa"/>
            <w:vAlign w:val="center"/>
          </w:tcPr>
          <w:p w:rsidR="005017C1" w:rsidRPr="00E336F0" w:rsidRDefault="005017C1" w:rsidP="00F476EA"/>
        </w:tc>
        <w:tc>
          <w:tcPr>
            <w:tcW w:w="1276" w:type="dxa"/>
            <w:vAlign w:val="center"/>
          </w:tcPr>
          <w:p w:rsidR="005017C1" w:rsidRPr="00E336F0" w:rsidRDefault="005017C1" w:rsidP="00F476EA"/>
        </w:tc>
        <w:tc>
          <w:tcPr>
            <w:tcW w:w="1276" w:type="dxa"/>
            <w:vAlign w:val="center"/>
          </w:tcPr>
          <w:p w:rsidR="005017C1" w:rsidRPr="00E336F0" w:rsidRDefault="005017C1" w:rsidP="00F476EA"/>
        </w:tc>
        <w:tc>
          <w:tcPr>
            <w:tcW w:w="1701" w:type="dxa"/>
            <w:vAlign w:val="center"/>
          </w:tcPr>
          <w:p w:rsidR="005017C1" w:rsidRPr="00E336F0" w:rsidRDefault="005017C1" w:rsidP="00F476EA"/>
        </w:tc>
      </w:tr>
      <w:tr w:rsidR="005017C1" w:rsidRPr="00E336F0" w:rsidTr="00F476EA">
        <w:tc>
          <w:tcPr>
            <w:tcW w:w="426" w:type="dxa"/>
            <w:vAlign w:val="center"/>
          </w:tcPr>
          <w:p w:rsidR="005017C1" w:rsidRPr="00E336F0" w:rsidRDefault="005017C1" w:rsidP="00F476EA">
            <w:r w:rsidRPr="00E336F0">
              <w:t>3</w:t>
            </w:r>
          </w:p>
        </w:tc>
        <w:tc>
          <w:tcPr>
            <w:tcW w:w="3969" w:type="dxa"/>
            <w:vAlign w:val="center"/>
          </w:tcPr>
          <w:p w:rsidR="005017C1" w:rsidRPr="00E336F0" w:rsidRDefault="005017C1" w:rsidP="00F476EA"/>
        </w:tc>
        <w:tc>
          <w:tcPr>
            <w:tcW w:w="708" w:type="dxa"/>
            <w:vAlign w:val="center"/>
          </w:tcPr>
          <w:p w:rsidR="005017C1" w:rsidRPr="00E336F0" w:rsidRDefault="005017C1" w:rsidP="00F476EA"/>
        </w:tc>
        <w:tc>
          <w:tcPr>
            <w:tcW w:w="709" w:type="dxa"/>
            <w:vAlign w:val="center"/>
          </w:tcPr>
          <w:p w:rsidR="005017C1" w:rsidRPr="00E336F0" w:rsidRDefault="005017C1" w:rsidP="00F476EA"/>
        </w:tc>
        <w:tc>
          <w:tcPr>
            <w:tcW w:w="1276" w:type="dxa"/>
            <w:vAlign w:val="center"/>
          </w:tcPr>
          <w:p w:rsidR="005017C1" w:rsidRPr="00E336F0" w:rsidRDefault="005017C1" w:rsidP="00F476EA"/>
        </w:tc>
        <w:tc>
          <w:tcPr>
            <w:tcW w:w="1276" w:type="dxa"/>
            <w:vAlign w:val="center"/>
          </w:tcPr>
          <w:p w:rsidR="005017C1" w:rsidRPr="00E336F0" w:rsidRDefault="005017C1" w:rsidP="00F476EA"/>
        </w:tc>
        <w:tc>
          <w:tcPr>
            <w:tcW w:w="1701" w:type="dxa"/>
            <w:vAlign w:val="center"/>
          </w:tcPr>
          <w:p w:rsidR="005017C1" w:rsidRPr="00E336F0" w:rsidRDefault="005017C1" w:rsidP="00F476EA"/>
        </w:tc>
      </w:tr>
    </w:tbl>
    <w:p w:rsidR="005017C1" w:rsidRPr="00E336F0" w:rsidRDefault="005017C1" w:rsidP="005017C1">
      <w:pPr>
        <w:numPr>
          <w:ilvl w:val="1"/>
          <w:numId w:val="1"/>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5017C1" w:rsidRPr="00E336F0" w:rsidRDefault="005017C1" w:rsidP="005017C1">
      <w:pPr>
        <w:numPr>
          <w:ilvl w:val="1"/>
          <w:numId w:val="1"/>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5017C1" w:rsidRPr="00E336F0" w:rsidRDefault="005017C1" w:rsidP="005017C1">
      <w:pPr>
        <w:numPr>
          <w:ilvl w:val="1"/>
          <w:numId w:val="1"/>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5017C1" w:rsidRPr="00E336F0" w:rsidRDefault="005017C1" w:rsidP="005017C1">
      <w:pPr>
        <w:numPr>
          <w:ilvl w:val="1"/>
          <w:numId w:val="1"/>
        </w:numPr>
        <w:tabs>
          <w:tab w:val="left" w:pos="5760"/>
        </w:tabs>
        <w:jc w:val="both"/>
        <w:rPr>
          <w:lang w:val="ru-RU"/>
        </w:rPr>
      </w:pPr>
      <w:r w:rsidRPr="00E336F0">
        <w:rPr>
          <w:lang w:val="ru-RU"/>
        </w:rPr>
        <w:t>Місце виконання договору- м.Івано-Франківськ.</w:t>
      </w:r>
    </w:p>
    <w:p w:rsidR="005017C1" w:rsidRPr="00E336F0" w:rsidRDefault="005017C1" w:rsidP="005017C1">
      <w:pPr>
        <w:tabs>
          <w:tab w:val="left" w:pos="5760"/>
        </w:tabs>
        <w:jc w:val="both"/>
        <w:rPr>
          <w:lang w:val="ru-RU"/>
        </w:rPr>
      </w:pPr>
    </w:p>
    <w:p w:rsidR="005017C1" w:rsidRPr="00E336F0" w:rsidRDefault="005017C1" w:rsidP="005017C1">
      <w:pPr>
        <w:numPr>
          <w:ilvl w:val="0"/>
          <w:numId w:val="1"/>
        </w:numPr>
        <w:jc w:val="center"/>
        <w:rPr>
          <w:b/>
          <w:lang w:val="ru-RU"/>
        </w:rPr>
      </w:pPr>
      <w:r w:rsidRPr="00E336F0">
        <w:rPr>
          <w:b/>
          <w:lang w:val="ru-RU"/>
        </w:rPr>
        <w:t>СУМА ДОГОВОРУ</w:t>
      </w:r>
    </w:p>
    <w:p w:rsidR="005017C1" w:rsidRPr="00E336F0" w:rsidRDefault="005017C1" w:rsidP="005017C1">
      <w:pPr>
        <w:numPr>
          <w:ilvl w:val="1"/>
          <w:numId w:val="1"/>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5017C1" w:rsidRDefault="005017C1" w:rsidP="005017C1">
      <w:pPr>
        <w:numPr>
          <w:ilvl w:val="1"/>
          <w:numId w:val="1"/>
        </w:numPr>
        <w:tabs>
          <w:tab w:val="left" w:pos="5760"/>
        </w:tabs>
        <w:jc w:val="both"/>
        <w:rPr>
          <w:lang w:val="ru-RU"/>
        </w:rPr>
      </w:pPr>
      <w:r w:rsidRPr="00A557C4">
        <w:rPr>
          <w:lang w:val="ru-RU"/>
        </w:rPr>
        <w:t>Сума фінансування заходу, визначеного розділом 1 цього Договору на 2022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від 10.12.2021 № 2503 - ________________________грн.</w:t>
      </w:r>
    </w:p>
    <w:p w:rsidR="005017C1" w:rsidRPr="00E336F0" w:rsidRDefault="005017C1" w:rsidP="005017C1">
      <w:pPr>
        <w:tabs>
          <w:tab w:val="left" w:pos="5760"/>
        </w:tabs>
        <w:jc w:val="both"/>
        <w:rPr>
          <w:lang w:val="ru-RU"/>
        </w:rPr>
      </w:pPr>
    </w:p>
    <w:p w:rsidR="005017C1" w:rsidRPr="00E336F0" w:rsidRDefault="005017C1" w:rsidP="005017C1">
      <w:pPr>
        <w:numPr>
          <w:ilvl w:val="0"/>
          <w:numId w:val="1"/>
        </w:numPr>
        <w:jc w:val="center"/>
        <w:rPr>
          <w:b/>
          <w:lang w:val="ru-RU"/>
        </w:rPr>
      </w:pPr>
      <w:r w:rsidRPr="00E336F0">
        <w:rPr>
          <w:b/>
          <w:lang w:val="ru-RU"/>
        </w:rPr>
        <w:t>ЦІНА ТОВАРУ</w:t>
      </w:r>
    </w:p>
    <w:p w:rsidR="005017C1" w:rsidRPr="00E336F0" w:rsidRDefault="005017C1" w:rsidP="005017C1">
      <w:pPr>
        <w:numPr>
          <w:ilvl w:val="1"/>
          <w:numId w:val="1"/>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5017C1" w:rsidRPr="00E336F0" w:rsidRDefault="005017C1" w:rsidP="005017C1">
      <w:pPr>
        <w:numPr>
          <w:ilvl w:val="1"/>
          <w:numId w:val="1"/>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5017C1" w:rsidRPr="00E336F0" w:rsidRDefault="005017C1" w:rsidP="005017C1">
      <w:pPr>
        <w:rPr>
          <w:b/>
          <w:lang w:val="ru-RU"/>
        </w:rPr>
      </w:pPr>
    </w:p>
    <w:p w:rsidR="005017C1" w:rsidRPr="00E336F0" w:rsidRDefault="005017C1" w:rsidP="005017C1">
      <w:pPr>
        <w:numPr>
          <w:ilvl w:val="0"/>
          <w:numId w:val="1"/>
        </w:numPr>
        <w:jc w:val="center"/>
        <w:rPr>
          <w:b/>
          <w:lang w:val="ru-RU"/>
        </w:rPr>
      </w:pPr>
      <w:r w:rsidRPr="00E336F0">
        <w:rPr>
          <w:b/>
          <w:lang w:val="ru-RU"/>
        </w:rPr>
        <w:t>УМОВИ РОЗРАХУНКУ</w:t>
      </w:r>
    </w:p>
    <w:p w:rsidR="005017C1" w:rsidRPr="00E336F0" w:rsidRDefault="005017C1" w:rsidP="005017C1">
      <w:pPr>
        <w:numPr>
          <w:ilvl w:val="1"/>
          <w:numId w:val="1"/>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3</w:t>
      </w:r>
      <w:r w:rsidRPr="00E336F0">
        <w:rPr>
          <w:b/>
        </w:rPr>
        <w:t>0 робочих днів</w:t>
      </w:r>
      <w:r w:rsidRPr="00E336F0">
        <w:rPr>
          <w:lang w:val="ru-RU"/>
        </w:rPr>
        <w:t xml:space="preserve"> з моменту поставки товарів. </w:t>
      </w:r>
    </w:p>
    <w:p w:rsidR="005017C1" w:rsidRPr="00E336F0" w:rsidRDefault="005017C1" w:rsidP="005017C1">
      <w:pPr>
        <w:numPr>
          <w:ilvl w:val="1"/>
          <w:numId w:val="1"/>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5017C1" w:rsidRPr="00E336F0" w:rsidRDefault="005017C1" w:rsidP="005017C1">
      <w:pPr>
        <w:rPr>
          <w:bCs/>
          <w:lang w:val="ru-RU"/>
        </w:rPr>
      </w:pPr>
    </w:p>
    <w:p w:rsidR="005017C1" w:rsidRPr="00E336F0" w:rsidRDefault="005017C1" w:rsidP="005017C1">
      <w:pPr>
        <w:numPr>
          <w:ilvl w:val="0"/>
          <w:numId w:val="1"/>
        </w:numPr>
        <w:jc w:val="center"/>
        <w:rPr>
          <w:bCs/>
          <w:lang w:val="ru-RU"/>
        </w:rPr>
      </w:pPr>
      <w:r w:rsidRPr="00E336F0">
        <w:rPr>
          <w:b/>
        </w:rPr>
        <w:t>ПОСТАВКА ТОВАРУ</w:t>
      </w:r>
    </w:p>
    <w:p w:rsidR="005017C1" w:rsidRPr="00E336F0" w:rsidRDefault="005017C1" w:rsidP="005017C1">
      <w:pPr>
        <w:numPr>
          <w:ilvl w:val="1"/>
          <w:numId w:val="1"/>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10</w:t>
      </w:r>
      <w:r w:rsidRPr="00E336F0">
        <w:rPr>
          <w:b/>
          <w:lang w:val="ru-RU"/>
        </w:rPr>
        <w:t xml:space="preserve">   робочих дні</w:t>
      </w:r>
      <w:r w:rsidRPr="00EA6209">
        <w:rPr>
          <w:b/>
          <w:lang w:val="ru-RU"/>
        </w:rPr>
        <w:t>в</w:t>
      </w:r>
      <w:r>
        <w:rPr>
          <w:lang w:val="ru-RU"/>
        </w:rPr>
        <w:t xml:space="preserve"> </w:t>
      </w:r>
      <w:r w:rsidRPr="00E336F0">
        <w:rPr>
          <w:lang w:val="ru-RU"/>
        </w:rPr>
        <w:t>з дня отримання від Покупця заявки на поставку.</w:t>
      </w:r>
    </w:p>
    <w:p w:rsidR="005017C1" w:rsidRPr="00E336F0" w:rsidRDefault="005017C1" w:rsidP="005017C1">
      <w:pPr>
        <w:numPr>
          <w:ilvl w:val="1"/>
          <w:numId w:val="1"/>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5017C1" w:rsidRPr="00E336F0" w:rsidRDefault="005017C1" w:rsidP="005017C1">
      <w:pPr>
        <w:numPr>
          <w:ilvl w:val="1"/>
          <w:numId w:val="1"/>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5017C1" w:rsidRPr="00E336F0" w:rsidRDefault="005017C1" w:rsidP="005017C1">
      <w:pPr>
        <w:numPr>
          <w:ilvl w:val="1"/>
          <w:numId w:val="1"/>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5017C1" w:rsidRPr="00E336F0" w:rsidRDefault="005017C1" w:rsidP="005017C1">
      <w:pPr>
        <w:numPr>
          <w:ilvl w:val="1"/>
          <w:numId w:val="1"/>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5017C1" w:rsidRPr="00E336F0" w:rsidRDefault="005017C1" w:rsidP="005017C1">
      <w:pPr>
        <w:numPr>
          <w:ilvl w:val="1"/>
          <w:numId w:val="1"/>
        </w:numPr>
        <w:tabs>
          <w:tab w:val="left" w:pos="5760"/>
        </w:tabs>
        <w:jc w:val="both"/>
        <w:rPr>
          <w:bCs/>
          <w:lang w:val="ru-RU"/>
        </w:rPr>
      </w:pPr>
      <w:r w:rsidRPr="00E336F0">
        <w:rPr>
          <w:bCs/>
          <w:lang w:val="ru-RU"/>
        </w:rPr>
        <w:t xml:space="preserve">Заїзд на територію Центрального складу: </w:t>
      </w:r>
    </w:p>
    <w:p w:rsidR="005017C1" w:rsidRPr="00E336F0" w:rsidRDefault="005017C1" w:rsidP="005017C1">
      <w:pPr>
        <w:numPr>
          <w:ilvl w:val="0"/>
          <w:numId w:val="4"/>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5017C1" w:rsidRPr="00E336F0" w:rsidRDefault="005017C1" w:rsidP="005017C1">
      <w:pPr>
        <w:numPr>
          <w:ilvl w:val="0"/>
          <w:numId w:val="4"/>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5017C1" w:rsidRPr="00E336F0" w:rsidRDefault="005017C1" w:rsidP="005017C1">
      <w:pPr>
        <w:numPr>
          <w:ilvl w:val="1"/>
          <w:numId w:val="1"/>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5017C1" w:rsidRPr="00E336F0" w:rsidRDefault="005017C1" w:rsidP="005017C1">
      <w:pPr>
        <w:numPr>
          <w:ilvl w:val="1"/>
          <w:numId w:val="1"/>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5017C1" w:rsidRPr="00E336F0" w:rsidRDefault="005017C1" w:rsidP="005017C1">
      <w:pPr>
        <w:numPr>
          <w:ilvl w:val="1"/>
          <w:numId w:val="1"/>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5017C1" w:rsidRPr="00E336F0" w:rsidRDefault="005017C1" w:rsidP="005017C1">
      <w:pPr>
        <w:numPr>
          <w:ilvl w:val="1"/>
          <w:numId w:val="1"/>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5017C1" w:rsidRPr="00E336F0" w:rsidRDefault="005017C1" w:rsidP="005017C1">
      <w:pPr>
        <w:numPr>
          <w:ilvl w:val="1"/>
          <w:numId w:val="1"/>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5017C1" w:rsidRPr="00E336F0" w:rsidRDefault="005017C1" w:rsidP="005017C1">
      <w:pPr>
        <w:numPr>
          <w:ilvl w:val="1"/>
          <w:numId w:val="1"/>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1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5017C1" w:rsidRPr="00E336F0" w:rsidRDefault="005017C1" w:rsidP="005017C1">
      <w:pPr>
        <w:tabs>
          <w:tab w:val="left" w:pos="5760"/>
        </w:tabs>
        <w:jc w:val="both"/>
        <w:rPr>
          <w:bCs/>
          <w:lang w:val="ru-RU"/>
        </w:rPr>
      </w:pPr>
    </w:p>
    <w:p w:rsidR="005017C1" w:rsidRPr="00E336F0" w:rsidRDefault="005017C1" w:rsidP="005017C1">
      <w:pPr>
        <w:numPr>
          <w:ilvl w:val="0"/>
          <w:numId w:val="1"/>
        </w:numPr>
        <w:jc w:val="center"/>
        <w:rPr>
          <w:b/>
          <w:lang w:val="ru-RU"/>
        </w:rPr>
      </w:pPr>
      <w:r w:rsidRPr="00E336F0">
        <w:rPr>
          <w:b/>
          <w:lang w:val="ru-RU"/>
        </w:rPr>
        <w:lastRenderedPageBreak/>
        <w:t>ЯКІСТЬ ТОВАРУ</w:t>
      </w:r>
    </w:p>
    <w:p w:rsidR="005017C1" w:rsidRPr="00E336F0" w:rsidRDefault="005017C1" w:rsidP="005017C1">
      <w:pPr>
        <w:numPr>
          <w:ilvl w:val="1"/>
          <w:numId w:val="1"/>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5017C1" w:rsidRPr="00E336F0" w:rsidRDefault="005017C1" w:rsidP="005017C1">
      <w:pPr>
        <w:numPr>
          <w:ilvl w:val="1"/>
          <w:numId w:val="1"/>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5017C1" w:rsidRPr="00E336F0" w:rsidRDefault="005017C1" w:rsidP="005017C1">
      <w:pPr>
        <w:numPr>
          <w:ilvl w:val="1"/>
          <w:numId w:val="1"/>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5017C1" w:rsidRPr="00E336F0" w:rsidRDefault="005017C1" w:rsidP="005017C1">
      <w:pPr>
        <w:numPr>
          <w:ilvl w:val="1"/>
          <w:numId w:val="1"/>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5017C1" w:rsidRPr="00E336F0" w:rsidRDefault="005017C1" w:rsidP="005017C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5017C1" w:rsidRPr="00E336F0" w:rsidRDefault="005017C1" w:rsidP="005017C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5017C1" w:rsidRPr="00E336F0" w:rsidRDefault="005017C1" w:rsidP="005017C1">
      <w:pPr>
        <w:numPr>
          <w:ilvl w:val="1"/>
          <w:numId w:val="1"/>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5017C1" w:rsidRPr="00E336F0" w:rsidRDefault="005017C1" w:rsidP="005017C1">
      <w:pPr>
        <w:suppressLineNumbers/>
        <w:jc w:val="both"/>
      </w:pPr>
    </w:p>
    <w:p w:rsidR="005017C1" w:rsidRPr="00E336F0" w:rsidRDefault="005017C1" w:rsidP="005017C1">
      <w:pPr>
        <w:numPr>
          <w:ilvl w:val="0"/>
          <w:numId w:val="1"/>
        </w:numPr>
        <w:jc w:val="center"/>
        <w:rPr>
          <w:b/>
        </w:rPr>
      </w:pPr>
      <w:r w:rsidRPr="00E336F0">
        <w:rPr>
          <w:b/>
        </w:rPr>
        <w:t>ПРАВА ТА ОБОВ'ЯЗКИ СТОРІН</w:t>
      </w:r>
    </w:p>
    <w:p w:rsidR="005017C1" w:rsidRPr="00E336F0" w:rsidRDefault="005017C1" w:rsidP="005017C1">
      <w:pPr>
        <w:numPr>
          <w:ilvl w:val="1"/>
          <w:numId w:val="1"/>
        </w:numPr>
        <w:tabs>
          <w:tab w:val="left" w:pos="284"/>
          <w:tab w:val="left" w:pos="5760"/>
        </w:tabs>
        <w:jc w:val="both"/>
        <w:rPr>
          <w:bCs/>
          <w:lang w:val="ru-RU"/>
        </w:rPr>
      </w:pPr>
      <w:r w:rsidRPr="00E336F0">
        <w:rPr>
          <w:bCs/>
          <w:lang w:val="ru-RU"/>
        </w:rPr>
        <w:t xml:space="preserve">Покупець зобов'язаний: </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5017C1" w:rsidRPr="00E336F0" w:rsidRDefault="005017C1" w:rsidP="005017C1">
      <w:pPr>
        <w:numPr>
          <w:ilvl w:val="1"/>
          <w:numId w:val="1"/>
        </w:numPr>
        <w:tabs>
          <w:tab w:val="left" w:pos="284"/>
          <w:tab w:val="left" w:pos="5760"/>
        </w:tabs>
        <w:jc w:val="both"/>
        <w:rPr>
          <w:bCs/>
          <w:lang w:val="ru-RU"/>
        </w:rPr>
      </w:pPr>
      <w:r w:rsidRPr="00E336F0">
        <w:rPr>
          <w:bCs/>
          <w:lang w:val="ru-RU"/>
        </w:rPr>
        <w:t xml:space="preserve"> Покупець має право:</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5017C1" w:rsidRPr="00E336F0" w:rsidRDefault="005017C1" w:rsidP="005017C1">
      <w:pPr>
        <w:numPr>
          <w:ilvl w:val="1"/>
          <w:numId w:val="1"/>
        </w:numPr>
        <w:tabs>
          <w:tab w:val="left" w:pos="284"/>
          <w:tab w:val="left" w:pos="5760"/>
        </w:tabs>
        <w:jc w:val="both"/>
        <w:rPr>
          <w:bCs/>
          <w:lang w:val="ru-RU"/>
        </w:rPr>
      </w:pPr>
      <w:r w:rsidRPr="00E336F0">
        <w:rPr>
          <w:bCs/>
          <w:lang w:val="ru-RU"/>
        </w:rPr>
        <w:t xml:space="preserve">Постачальник зобов'язаний: </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t>виконувати гарантійні зобов’язання згідно п.6.4.</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5017C1" w:rsidRPr="00E336F0" w:rsidRDefault="005017C1" w:rsidP="005017C1">
      <w:pPr>
        <w:numPr>
          <w:ilvl w:val="1"/>
          <w:numId w:val="1"/>
        </w:numPr>
        <w:tabs>
          <w:tab w:val="left" w:pos="284"/>
          <w:tab w:val="left" w:pos="5760"/>
        </w:tabs>
        <w:jc w:val="both"/>
        <w:rPr>
          <w:bCs/>
          <w:lang w:val="ru-RU"/>
        </w:rPr>
      </w:pPr>
      <w:r w:rsidRPr="00E336F0">
        <w:rPr>
          <w:bCs/>
          <w:lang w:val="ru-RU"/>
        </w:rPr>
        <w:t xml:space="preserve">Постачальник має право: </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5017C1" w:rsidRPr="00E336F0" w:rsidRDefault="005017C1" w:rsidP="005017C1">
      <w:pPr>
        <w:numPr>
          <w:ilvl w:val="0"/>
          <w:numId w:val="4"/>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5017C1" w:rsidRPr="00E336F0" w:rsidRDefault="005017C1" w:rsidP="005017C1">
      <w:pPr>
        <w:numPr>
          <w:ilvl w:val="0"/>
          <w:numId w:val="4"/>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5017C1" w:rsidRPr="00E336F0" w:rsidRDefault="005017C1" w:rsidP="005017C1">
      <w:pPr>
        <w:tabs>
          <w:tab w:val="left" w:pos="0"/>
          <w:tab w:val="left" w:pos="5760"/>
        </w:tabs>
        <w:jc w:val="both"/>
        <w:rPr>
          <w:b/>
          <w:color w:val="C0C0C0"/>
          <w:lang w:val="ru-RU"/>
        </w:rPr>
      </w:pPr>
      <w:r w:rsidRPr="00E336F0">
        <w:rPr>
          <w:b/>
          <w:color w:val="C0C0C0"/>
          <w:lang w:val="ru-RU"/>
        </w:rPr>
        <w:t xml:space="preserve">                                              </w:t>
      </w:r>
    </w:p>
    <w:p w:rsidR="005017C1" w:rsidRPr="00E336F0" w:rsidRDefault="005017C1" w:rsidP="005017C1">
      <w:pPr>
        <w:numPr>
          <w:ilvl w:val="0"/>
          <w:numId w:val="1"/>
        </w:numPr>
        <w:jc w:val="center"/>
        <w:rPr>
          <w:b/>
        </w:rPr>
      </w:pPr>
      <w:r w:rsidRPr="00E336F0">
        <w:rPr>
          <w:b/>
        </w:rPr>
        <w:t>ВІДПОВІДАЛЬНІСТЬ СТОРІН</w:t>
      </w:r>
    </w:p>
    <w:p w:rsidR="005017C1" w:rsidRPr="00E336F0" w:rsidRDefault="005017C1" w:rsidP="005017C1">
      <w:pPr>
        <w:numPr>
          <w:ilvl w:val="1"/>
          <w:numId w:val="1"/>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5017C1" w:rsidRPr="00E336F0" w:rsidRDefault="005017C1" w:rsidP="005017C1">
      <w:pPr>
        <w:numPr>
          <w:ilvl w:val="1"/>
          <w:numId w:val="1"/>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5017C1" w:rsidRPr="00E336F0" w:rsidRDefault="005017C1" w:rsidP="005017C1">
      <w:pPr>
        <w:numPr>
          <w:ilvl w:val="1"/>
          <w:numId w:val="1"/>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5017C1" w:rsidRPr="00E336F0" w:rsidRDefault="005017C1" w:rsidP="005017C1">
      <w:pPr>
        <w:numPr>
          <w:ilvl w:val="1"/>
          <w:numId w:val="1"/>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5017C1" w:rsidRPr="00E336F0" w:rsidRDefault="005017C1" w:rsidP="005017C1">
      <w:pPr>
        <w:numPr>
          <w:ilvl w:val="1"/>
          <w:numId w:val="1"/>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5017C1" w:rsidRPr="00E336F0" w:rsidRDefault="005017C1" w:rsidP="005017C1">
      <w:pPr>
        <w:numPr>
          <w:ilvl w:val="1"/>
          <w:numId w:val="1"/>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5017C1" w:rsidRPr="00E336F0" w:rsidRDefault="005017C1" w:rsidP="005017C1">
      <w:pPr>
        <w:numPr>
          <w:ilvl w:val="1"/>
          <w:numId w:val="1"/>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5017C1" w:rsidRPr="00E336F0" w:rsidRDefault="005017C1" w:rsidP="005017C1">
      <w:pPr>
        <w:numPr>
          <w:ilvl w:val="1"/>
          <w:numId w:val="1"/>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5017C1" w:rsidRPr="00E336F0" w:rsidRDefault="005017C1" w:rsidP="005017C1">
      <w:pPr>
        <w:numPr>
          <w:ilvl w:val="1"/>
          <w:numId w:val="1"/>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017C1" w:rsidRPr="00E336F0" w:rsidRDefault="005017C1" w:rsidP="005017C1">
      <w:pPr>
        <w:numPr>
          <w:ilvl w:val="1"/>
          <w:numId w:val="1"/>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5017C1" w:rsidRPr="00E336F0" w:rsidRDefault="005017C1" w:rsidP="005017C1">
      <w:pPr>
        <w:numPr>
          <w:ilvl w:val="1"/>
          <w:numId w:val="5"/>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5017C1" w:rsidRPr="00E336F0" w:rsidRDefault="005017C1" w:rsidP="005017C1">
      <w:pPr>
        <w:numPr>
          <w:ilvl w:val="1"/>
          <w:numId w:val="5"/>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5017C1" w:rsidRPr="00E336F0" w:rsidRDefault="005017C1" w:rsidP="005017C1">
      <w:pPr>
        <w:numPr>
          <w:ilvl w:val="1"/>
          <w:numId w:val="5"/>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5017C1" w:rsidRPr="00E336F0" w:rsidRDefault="005017C1" w:rsidP="005017C1">
      <w:pPr>
        <w:numPr>
          <w:ilvl w:val="1"/>
          <w:numId w:val="5"/>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5017C1" w:rsidRPr="00E336F0" w:rsidRDefault="005017C1" w:rsidP="005017C1">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5017C1" w:rsidRPr="00E336F0" w:rsidRDefault="005017C1" w:rsidP="005017C1">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5017C1" w:rsidRPr="00E336F0" w:rsidRDefault="005017C1" w:rsidP="005017C1">
      <w:pPr>
        <w:numPr>
          <w:ilvl w:val="1"/>
          <w:numId w:val="5"/>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5017C1" w:rsidRPr="00E336F0" w:rsidRDefault="005017C1" w:rsidP="005017C1">
      <w:pPr>
        <w:numPr>
          <w:ilvl w:val="1"/>
          <w:numId w:val="5"/>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5017C1" w:rsidRPr="00E336F0" w:rsidRDefault="005017C1" w:rsidP="005017C1">
      <w:pPr>
        <w:numPr>
          <w:ilvl w:val="1"/>
          <w:numId w:val="5"/>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5017C1" w:rsidRPr="00E336F0" w:rsidRDefault="005017C1" w:rsidP="005017C1">
      <w:pPr>
        <w:numPr>
          <w:ilvl w:val="1"/>
          <w:numId w:val="5"/>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017C1" w:rsidRPr="00E336F0" w:rsidRDefault="005017C1" w:rsidP="005017C1">
      <w:pPr>
        <w:numPr>
          <w:ilvl w:val="1"/>
          <w:numId w:val="1"/>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5017C1" w:rsidRPr="00E336F0" w:rsidRDefault="005017C1" w:rsidP="005017C1">
      <w:pPr>
        <w:tabs>
          <w:tab w:val="left" w:pos="5760"/>
        </w:tabs>
        <w:jc w:val="both"/>
        <w:rPr>
          <w:bCs/>
          <w:lang w:val="ru-RU"/>
        </w:rPr>
      </w:pPr>
    </w:p>
    <w:p w:rsidR="005017C1" w:rsidRPr="00E336F0" w:rsidRDefault="005017C1" w:rsidP="005017C1">
      <w:pPr>
        <w:numPr>
          <w:ilvl w:val="0"/>
          <w:numId w:val="1"/>
        </w:numPr>
        <w:jc w:val="center"/>
        <w:rPr>
          <w:b/>
        </w:rPr>
      </w:pPr>
      <w:r w:rsidRPr="00E336F0">
        <w:rPr>
          <w:b/>
        </w:rPr>
        <w:t>ОБСТАВИНИ НЕПЕРЕБОРНОЇ СИЛИ</w:t>
      </w:r>
    </w:p>
    <w:p w:rsidR="005017C1" w:rsidRPr="00E336F0" w:rsidRDefault="005017C1" w:rsidP="005017C1">
      <w:pPr>
        <w:numPr>
          <w:ilvl w:val="1"/>
          <w:numId w:val="1"/>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5017C1" w:rsidRPr="00E336F0" w:rsidRDefault="005017C1" w:rsidP="005017C1">
      <w:pPr>
        <w:numPr>
          <w:ilvl w:val="1"/>
          <w:numId w:val="1"/>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5017C1" w:rsidRPr="00E336F0" w:rsidRDefault="005017C1" w:rsidP="005017C1">
      <w:pPr>
        <w:numPr>
          <w:ilvl w:val="1"/>
          <w:numId w:val="1"/>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5017C1" w:rsidRPr="00E336F0" w:rsidRDefault="005017C1" w:rsidP="005017C1">
      <w:pPr>
        <w:numPr>
          <w:ilvl w:val="1"/>
          <w:numId w:val="1"/>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017C1" w:rsidRPr="00E336F0" w:rsidRDefault="005017C1" w:rsidP="005017C1">
      <w:pPr>
        <w:tabs>
          <w:tab w:val="left" w:pos="5760"/>
        </w:tabs>
        <w:jc w:val="both"/>
        <w:rPr>
          <w:bCs/>
          <w:lang w:val="ru-RU"/>
        </w:rPr>
      </w:pPr>
    </w:p>
    <w:p w:rsidR="005017C1" w:rsidRPr="00E336F0" w:rsidRDefault="005017C1" w:rsidP="005017C1">
      <w:pPr>
        <w:numPr>
          <w:ilvl w:val="0"/>
          <w:numId w:val="1"/>
        </w:numPr>
        <w:jc w:val="center"/>
        <w:rPr>
          <w:b/>
        </w:rPr>
      </w:pPr>
      <w:r w:rsidRPr="00E336F0">
        <w:rPr>
          <w:b/>
        </w:rPr>
        <w:t>ПОРЯДОК ВНЕСЕННЯ ЗМІН ДО ДОГОВОРУ</w:t>
      </w:r>
    </w:p>
    <w:p w:rsidR="005017C1" w:rsidRPr="00E336F0" w:rsidRDefault="005017C1" w:rsidP="005017C1">
      <w:pPr>
        <w:numPr>
          <w:ilvl w:val="1"/>
          <w:numId w:val="1"/>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5017C1" w:rsidRPr="00E336F0" w:rsidRDefault="005017C1" w:rsidP="005017C1">
      <w:pPr>
        <w:numPr>
          <w:ilvl w:val="1"/>
          <w:numId w:val="1"/>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5017C1" w:rsidRPr="00E336F0" w:rsidRDefault="005017C1" w:rsidP="005017C1">
      <w:pPr>
        <w:numPr>
          <w:ilvl w:val="1"/>
          <w:numId w:val="1"/>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5017C1" w:rsidRPr="00E336F0" w:rsidRDefault="005017C1" w:rsidP="005017C1">
      <w:pPr>
        <w:numPr>
          <w:ilvl w:val="1"/>
          <w:numId w:val="1"/>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017C1" w:rsidRPr="00E336F0" w:rsidRDefault="005017C1" w:rsidP="005017C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5017C1" w:rsidRPr="00E336F0" w:rsidRDefault="005017C1" w:rsidP="005017C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5017C1" w:rsidRPr="00E336F0" w:rsidRDefault="005017C1" w:rsidP="005017C1">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5017C1" w:rsidRPr="00E336F0" w:rsidRDefault="005017C1" w:rsidP="005017C1">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5017C1" w:rsidRPr="00E336F0" w:rsidRDefault="005017C1" w:rsidP="005017C1">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5017C1" w:rsidRPr="00E336F0" w:rsidRDefault="005017C1" w:rsidP="005017C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5017C1" w:rsidRPr="00E336F0" w:rsidRDefault="005017C1" w:rsidP="005017C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5017C1" w:rsidRPr="00E336F0" w:rsidRDefault="005017C1" w:rsidP="005017C1">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17C1" w:rsidRPr="00E336F0" w:rsidRDefault="005017C1" w:rsidP="005017C1">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017C1" w:rsidRPr="00E336F0" w:rsidRDefault="005017C1" w:rsidP="005017C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5017C1" w:rsidRPr="00E336F0" w:rsidRDefault="005017C1" w:rsidP="005017C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17C1" w:rsidRPr="00E336F0" w:rsidRDefault="005017C1" w:rsidP="005017C1">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17C1" w:rsidRPr="00E336F0" w:rsidRDefault="005017C1" w:rsidP="005017C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5017C1" w:rsidRPr="00E336F0" w:rsidRDefault="005017C1" w:rsidP="005017C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5017C1" w:rsidRPr="00E336F0" w:rsidRDefault="005017C1" w:rsidP="005017C1">
      <w:pPr>
        <w:numPr>
          <w:ilvl w:val="1"/>
          <w:numId w:val="1"/>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5017C1" w:rsidRPr="00E336F0" w:rsidRDefault="005017C1" w:rsidP="005017C1">
      <w:pPr>
        <w:numPr>
          <w:ilvl w:val="1"/>
          <w:numId w:val="1"/>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5017C1" w:rsidRPr="00E336F0" w:rsidRDefault="005017C1" w:rsidP="005017C1">
      <w:pPr>
        <w:tabs>
          <w:tab w:val="left" w:pos="5760"/>
        </w:tabs>
        <w:jc w:val="both"/>
        <w:rPr>
          <w:bCs/>
          <w:lang w:val="ru-RU"/>
        </w:rPr>
      </w:pPr>
    </w:p>
    <w:p w:rsidR="005017C1" w:rsidRPr="00E336F0" w:rsidRDefault="005017C1" w:rsidP="005017C1">
      <w:pPr>
        <w:numPr>
          <w:ilvl w:val="0"/>
          <w:numId w:val="1"/>
        </w:numPr>
        <w:jc w:val="center"/>
        <w:rPr>
          <w:b/>
        </w:rPr>
      </w:pPr>
      <w:r w:rsidRPr="00E336F0">
        <w:rPr>
          <w:b/>
        </w:rPr>
        <w:t>ВИРІШЕННЯ СПОРІВ</w:t>
      </w:r>
    </w:p>
    <w:p w:rsidR="005017C1" w:rsidRPr="00E336F0" w:rsidRDefault="005017C1" w:rsidP="005017C1">
      <w:pPr>
        <w:numPr>
          <w:ilvl w:val="1"/>
          <w:numId w:val="1"/>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5017C1" w:rsidRPr="00E336F0" w:rsidRDefault="005017C1" w:rsidP="005017C1">
      <w:pPr>
        <w:numPr>
          <w:ilvl w:val="1"/>
          <w:numId w:val="1"/>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5017C1" w:rsidRPr="00E336F0" w:rsidRDefault="005017C1" w:rsidP="005017C1">
      <w:pPr>
        <w:tabs>
          <w:tab w:val="left" w:pos="5760"/>
        </w:tabs>
        <w:jc w:val="both"/>
        <w:rPr>
          <w:b/>
        </w:rPr>
      </w:pPr>
    </w:p>
    <w:p w:rsidR="005017C1" w:rsidRPr="00E336F0" w:rsidRDefault="005017C1" w:rsidP="005017C1">
      <w:pPr>
        <w:numPr>
          <w:ilvl w:val="0"/>
          <w:numId w:val="1"/>
        </w:numPr>
        <w:jc w:val="center"/>
        <w:rPr>
          <w:b/>
        </w:rPr>
      </w:pPr>
      <w:r w:rsidRPr="00E336F0">
        <w:rPr>
          <w:b/>
        </w:rPr>
        <w:t>СТРОК ДІЇ ДОГОВОРУ</w:t>
      </w:r>
    </w:p>
    <w:p w:rsidR="005017C1" w:rsidRPr="00DA57E4" w:rsidRDefault="005017C1" w:rsidP="005017C1">
      <w:pPr>
        <w:numPr>
          <w:ilvl w:val="1"/>
          <w:numId w:val="1"/>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2022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5017C1" w:rsidRPr="00E336F0" w:rsidRDefault="005017C1" w:rsidP="005017C1">
      <w:pPr>
        <w:numPr>
          <w:ilvl w:val="1"/>
          <w:numId w:val="1"/>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5017C1" w:rsidRPr="00E336F0" w:rsidRDefault="005017C1" w:rsidP="005017C1">
      <w:pPr>
        <w:numPr>
          <w:ilvl w:val="1"/>
          <w:numId w:val="1"/>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5017C1" w:rsidRPr="00E336F0" w:rsidRDefault="005017C1" w:rsidP="005017C1">
      <w:pPr>
        <w:tabs>
          <w:tab w:val="left" w:pos="5760"/>
        </w:tabs>
        <w:jc w:val="both"/>
        <w:rPr>
          <w:bCs/>
          <w:lang w:val="ru-RU"/>
        </w:rPr>
      </w:pPr>
    </w:p>
    <w:p w:rsidR="005017C1" w:rsidRPr="00E336F0" w:rsidRDefault="005017C1" w:rsidP="005017C1">
      <w:pPr>
        <w:numPr>
          <w:ilvl w:val="0"/>
          <w:numId w:val="1"/>
        </w:numPr>
        <w:jc w:val="center"/>
        <w:rPr>
          <w:b/>
        </w:rPr>
      </w:pPr>
      <w:r w:rsidRPr="00E336F0">
        <w:rPr>
          <w:b/>
        </w:rPr>
        <w:t>ІНШІ УМОВИ</w:t>
      </w:r>
    </w:p>
    <w:p w:rsidR="005017C1" w:rsidRPr="00E336F0" w:rsidRDefault="005017C1" w:rsidP="005017C1">
      <w:pPr>
        <w:numPr>
          <w:ilvl w:val="1"/>
          <w:numId w:val="1"/>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5017C1" w:rsidRPr="00E336F0" w:rsidRDefault="005017C1" w:rsidP="005017C1">
      <w:pPr>
        <w:numPr>
          <w:ilvl w:val="1"/>
          <w:numId w:val="1"/>
        </w:numPr>
        <w:tabs>
          <w:tab w:val="left" w:pos="5760"/>
        </w:tabs>
        <w:jc w:val="both"/>
        <w:rPr>
          <w:bCs/>
          <w:lang w:val="ru-RU"/>
        </w:rPr>
      </w:pPr>
      <w:r w:rsidRPr="00E336F0">
        <w:rPr>
          <w:bCs/>
          <w:lang w:val="ru-RU"/>
        </w:rPr>
        <w:t>Покупець є платником податку на прибуток на загальних умовах.</w:t>
      </w:r>
    </w:p>
    <w:p w:rsidR="005017C1" w:rsidRPr="00E336F0" w:rsidRDefault="005017C1" w:rsidP="005017C1">
      <w:pPr>
        <w:numPr>
          <w:ilvl w:val="1"/>
          <w:numId w:val="1"/>
        </w:numPr>
        <w:tabs>
          <w:tab w:val="left" w:pos="5760"/>
        </w:tabs>
        <w:jc w:val="both"/>
        <w:rPr>
          <w:bCs/>
          <w:lang w:val="ru-RU"/>
        </w:rPr>
      </w:pPr>
      <w:r w:rsidRPr="00E336F0">
        <w:rPr>
          <w:bCs/>
          <w:lang w:val="ru-RU"/>
        </w:rPr>
        <w:t>Сторони передбачили і погодили всі істотні умови договору.</w:t>
      </w:r>
    </w:p>
    <w:p w:rsidR="005017C1" w:rsidRPr="00E336F0" w:rsidRDefault="005017C1" w:rsidP="005017C1">
      <w:pPr>
        <w:tabs>
          <w:tab w:val="left" w:pos="5760"/>
        </w:tabs>
        <w:jc w:val="both"/>
        <w:rPr>
          <w:bCs/>
          <w:lang w:val="ru-RU"/>
        </w:rPr>
      </w:pPr>
    </w:p>
    <w:p w:rsidR="005017C1" w:rsidRPr="00E336F0" w:rsidRDefault="005017C1" w:rsidP="005017C1">
      <w:pPr>
        <w:numPr>
          <w:ilvl w:val="0"/>
          <w:numId w:val="1"/>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5017C1" w:rsidRPr="00E336F0" w:rsidTr="00F476EA">
        <w:trPr>
          <w:trHeight w:val="4407"/>
        </w:trPr>
        <w:tc>
          <w:tcPr>
            <w:tcW w:w="5495" w:type="dxa"/>
          </w:tcPr>
          <w:p w:rsidR="005017C1" w:rsidRPr="00E336F0" w:rsidRDefault="005017C1" w:rsidP="00F476EA">
            <w:pPr>
              <w:rPr>
                <w:b/>
                <w:lang w:val="ru-RU"/>
              </w:rPr>
            </w:pPr>
            <w:r w:rsidRPr="00E336F0">
              <w:rPr>
                <w:b/>
                <w:lang w:val="ru-RU"/>
              </w:rPr>
              <w:t>Постачальник:</w:t>
            </w:r>
          </w:p>
          <w:p w:rsidR="005017C1" w:rsidRPr="00E336F0" w:rsidRDefault="005017C1" w:rsidP="00F476EA">
            <w:pPr>
              <w:rPr>
                <w:b/>
                <w:lang w:val="ru-RU"/>
              </w:rPr>
            </w:pPr>
            <w:r w:rsidRPr="00E336F0">
              <w:rPr>
                <w:b/>
                <w:lang w:val="ru-RU"/>
              </w:rPr>
              <w:t>____________________________</w:t>
            </w:r>
          </w:p>
          <w:p w:rsidR="005017C1" w:rsidRPr="00E336F0" w:rsidRDefault="005017C1" w:rsidP="00F476EA">
            <w:pPr>
              <w:rPr>
                <w:b/>
                <w:lang w:val="ru-RU"/>
              </w:rPr>
            </w:pPr>
            <w:r w:rsidRPr="00E336F0">
              <w:rPr>
                <w:b/>
                <w:lang w:val="ru-RU"/>
              </w:rPr>
              <w:t>____________________________</w:t>
            </w:r>
          </w:p>
          <w:p w:rsidR="005017C1" w:rsidRPr="00E336F0" w:rsidRDefault="005017C1" w:rsidP="00F476EA">
            <w:pPr>
              <w:rPr>
                <w:lang w:val="ru-RU"/>
              </w:rPr>
            </w:pPr>
            <w:r w:rsidRPr="00E336F0">
              <w:rPr>
                <w:b/>
                <w:lang w:val="ru-RU"/>
              </w:rPr>
              <w:t>____________________________</w:t>
            </w:r>
          </w:p>
          <w:p w:rsidR="005017C1" w:rsidRPr="00E336F0" w:rsidRDefault="005017C1" w:rsidP="00F476EA">
            <w:pPr>
              <w:rPr>
                <w:lang w:val="ru-RU"/>
              </w:rPr>
            </w:pPr>
            <w:r w:rsidRPr="00E336F0">
              <w:rPr>
                <w:b/>
                <w:lang w:val="ru-RU"/>
              </w:rPr>
              <w:t>____________________________</w:t>
            </w:r>
          </w:p>
          <w:p w:rsidR="005017C1" w:rsidRPr="00E336F0" w:rsidRDefault="005017C1" w:rsidP="00F476EA">
            <w:pPr>
              <w:rPr>
                <w:lang w:val="ru-RU"/>
              </w:rPr>
            </w:pPr>
            <w:r w:rsidRPr="00E336F0">
              <w:rPr>
                <w:b/>
                <w:lang w:val="ru-RU"/>
              </w:rPr>
              <w:t>____________________________</w:t>
            </w:r>
          </w:p>
          <w:p w:rsidR="005017C1" w:rsidRPr="00E336F0" w:rsidRDefault="005017C1" w:rsidP="00F476EA">
            <w:pPr>
              <w:rPr>
                <w:lang w:val="ru-RU"/>
              </w:rPr>
            </w:pPr>
            <w:r w:rsidRPr="00E336F0">
              <w:rPr>
                <w:b/>
                <w:lang w:val="ru-RU"/>
              </w:rPr>
              <w:t>____________________________</w:t>
            </w:r>
          </w:p>
          <w:p w:rsidR="005017C1" w:rsidRPr="00E336F0" w:rsidRDefault="005017C1" w:rsidP="00F476EA">
            <w:pPr>
              <w:rPr>
                <w:lang w:val="ru-RU"/>
              </w:rPr>
            </w:pPr>
            <w:r w:rsidRPr="00E336F0">
              <w:rPr>
                <w:b/>
                <w:lang w:val="ru-RU"/>
              </w:rPr>
              <w:t>____________________________</w:t>
            </w:r>
          </w:p>
          <w:p w:rsidR="005017C1" w:rsidRPr="00E336F0" w:rsidRDefault="005017C1" w:rsidP="00F476EA">
            <w:pPr>
              <w:rPr>
                <w:lang w:val="ru-RU"/>
              </w:rPr>
            </w:pPr>
            <w:r w:rsidRPr="00E336F0">
              <w:rPr>
                <w:b/>
                <w:lang w:val="ru-RU"/>
              </w:rPr>
              <w:t>____________________________</w:t>
            </w:r>
          </w:p>
          <w:p w:rsidR="005017C1" w:rsidRPr="00E336F0" w:rsidRDefault="005017C1" w:rsidP="00F476EA">
            <w:pPr>
              <w:rPr>
                <w:lang w:val="ru-RU"/>
              </w:rPr>
            </w:pPr>
            <w:r w:rsidRPr="00E336F0">
              <w:rPr>
                <w:b/>
                <w:lang w:val="ru-RU"/>
              </w:rPr>
              <w:t>____________________________</w:t>
            </w:r>
          </w:p>
          <w:p w:rsidR="005017C1" w:rsidRPr="00E336F0" w:rsidRDefault="005017C1" w:rsidP="00F476EA">
            <w:pPr>
              <w:rPr>
                <w:lang w:val="ru-RU"/>
              </w:rPr>
            </w:pPr>
          </w:p>
          <w:p w:rsidR="005017C1" w:rsidRPr="00E336F0" w:rsidRDefault="005017C1" w:rsidP="00F476EA">
            <w:pPr>
              <w:rPr>
                <w:b/>
                <w:lang w:val="ru-RU"/>
              </w:rPr>
            </w:pPr>
            <w:r w:rsidRPr="00E336F0">
              <w:rPr>
                <w:b/>
                <w:lang w:val="ru-RU"/>
              </w:rPr>
              <w:t>Директор</w:t>
            </w:r>
          </w:p>
          <w:p w:rsidR="005017C1" w:rsidRPr="00E336F0" w:rsidRDefault="005017C1" w:rsidP="00F476EA">
            <w:pPr>
              <w:rPr>
                <w:lang w:val="ru-RU"/>
              </w:rPr>
            </w:pPr>
          </w:p>
          <w:p w:rsidR="005017C1" w:rsidRPr="00E336F0" w:rsidRDefault="005017C1" w:rsidP="00F476EA">
            <w:pPr>
              <w:rPr>
                <w:lang w:val="ru-RU"/>
              </w:rPr>
            </w:pPr>
          </w:p>
          <w:p w:rsidR="005017C1" w:rsidRPr="00E336F0" w:rsidRDefault="005017C1" w:rsidP="00F476EA">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5017C1" w:rsidRPr="00E336F0" w:rsidRDefault="005017C1" w:rsidP="00F476EA">
            <w:pPr>
              <w:rPr>
                <w:b/>
              </w:rPr>
            </w:pPr>
            <w:r w:rsidRPr="00E336F0">
              <w:rPr>
                <w:b/>
                <w:lang w:val="ru-RU"/>
              </w:rPr>
              <w:t>М.П.</w:t>
            </w:r>
          </w:p>
        </w:tc>
        <w:tc>
          <w:tcPr>
            <w:tcW w:w="4693" w:type="dxa"/>
          </w:tcPr>
          <w:p w:rsidR="005017C1" w:rsidRPr="00E336F0" w:rsidRDefault="005017C1" w:rsidP="00F476EA">
            <w:pPr>
              <w:rPr>
                <w:b/>
                <w:lang w:val="ru-RU"/>
              </w:rPr>
            </w:pPr>
            <w:r w:rsidRPr="00E336F0">
              <w:rPr>
                <w:b/>
                <w:lang w:val="ru-RU"/>
              </w:rPr>
              <w:t>Покупець:</w:t>
            </w:r>
          </w:p>
          <w:p w:rsidR="005017C1" w:rsidRPr="00E336F0" w:rsidRDefault="005017C1" w:rsidP="00F476EA">
            <w:pPr>
              <w:rPr>
                <w:b/>
                <w:bCs/>
                <w:lang w:val="ru-RU"/>
              </w:rPr>
            </w:pPr>
            <w:r w:rsidRPr="00E336F0">
              <w:rPr>
                <w:b/>
                <w:bCs/>
                <w:lang w:val="ru-RU"/>
              </w:rPr>
              <w:t>АТ «Прикарпаттяобленерго»</w:t>
            </w:r>
          </w:p>
          <w:p w:rsidR="005017C1" w:rsidRPr="00E336F0" w:rsidRDefault="005017C1" w:rsidP="00F476EA">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5017C1" w:rsidRPr="00E336F0" w:rsidRDefault="005017C1" w:rsidP="00F476EA">
            <w:pPr>
              <w:rPr>
                <w:lang w:val="ru-RU"/>
              </w:rPr>
            </w:pPr>
            <w:r w:rsidRPr="00E336F0">
              <w:rPr>
                <w:lang w:val="ru-RU"/>
              </w:rPr>
              <w:t>вул. Індустріальна, 34</w:t>
            </w:r>
          </w:p>
          <w:p w:rsidR="005017C1" w:rsidRPr="00E336F0" w:rsidRDefault="005017C1" w:rsidP="00F476EA">
            <w:pPr>
              <w:rPr>
                <w:lang w:val="ru-RU"/>
              </w:rPr>
            </w:pPr>
            <w:r w:rsidRPr="00E336F0">
              <w:rPr>
                <w:lang w:val="ru-RU"/>
              </w:rPr>
              <w:t>IBAN UA023365030000026001300018152</w:t>
            </w:r>
          </w:p>
          <w:p w:rsidR="005017C1" w:rsidRPr="00E336F0" w:rsidRDefault="005017C1" w:rsidP="00F476EA">
            <w:pPr>
              <w:rPr>
                <w:lang w:val="ru-RU"/>
              </w:rPr>
            </w:pPr>
            <w:r w:rsidRPr="00E336F0">
              <w:rPr>
                <w:lang w:val="ru-RU"/>
              </w:rPr>
              <w:t xml:space="preserve">в ТВБВ 10008/0143 м.Івано-Франківська </w:t>
            </w:r>
          </w:p>
          <w:p w:rsidR="005017C1" w:rsidRPr="00E336F0" w:rsidRDefault="005017C1" w:rsidP="00F476EA">
            <w:pPr>
              <w:rPr>
                <w:lang w:val="ru-RU"/>
              </w:rPr>
            </w:pPr>
            <w:r w:rsidRPr="00E336F0">
              <w:rPr>
                <w:lang w:val="ru-RU"/>
              </w:rPr>
              <w:t xml:space="preserve">Філії Івано-Франківське </w:t>
            </w:r>
          </w:p>
          <w:p w:rsidR="005017C1" w:rsidRPr="00E336F0" w:rsidRDefault="005017C1" w:rsidP="00F476EA">
            <w:pPr>
              <w:rPr>
                <w:lang w:val="ru-RU"/>
              </w:rPr>
            </w:pPr>
            <w:r w:rsidRPr="00E336F0">
              <w:rPr>
                <w:lang w:val="ru-RU"/>
              </w:rPr>
              <w:t>обласне управління АТ "Ощадбанк"</w:t>
            </w:r>
          </w:p>
          <w:p w:rsidR="005017C1" w:rsidRPr="00E336F0" w:rsidRDefault="005017C1" w:rsidP="00F476EA">
            <w:pPr>
              <w:rPr>
                <w:lang w:val="ru-RU"/>
              </w:rPr>
            </w:pPr>
            <w:r w:rsidRPr="00E336F0">
              <w:rPr>
                <w:lang w:val="ru-RU"/>
              </w:rPr>
              <w:t>ЄДРПОУ 00131564</w:t>
            </w:r>
          </w:p>
          <w:p w:rsidR="005017C1" w:rsidRPr="00E336F0" w:rsidRDefault="005017C1" w:rsidP="00F476EA">
            <w:pPr>
              <w:rPr>
                <w:lang w:val="ru-RU"/>
              </w:rPr>
            </w:pPr>
            <w:r w:rsidRPr="00E336F0">
              <w:rPr>
                <w:lang w:val="ru-RU"/>
              </w:rPr>
              <w:t>ІПН 001315609158</w:t>
            </w:r>
          </w:p>
          <w:p w:rsidR="005017C1" w:rsidRPr="00E336F0" w:rsidRDefault="005017C1" w:rsidP="00F476EA">
            <w:pPr>
              <w:rPr>
                <w:lang w:val="ru-RU"/>
              </w:rPr>
            </w:pPr>
          </w:p>
          <w:p w:rsidR="005017C1" w:rsidRPr="00E336F0" w:rsidRDefault="005017C1" w:rsidP="00F476EA">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5017C1" w:rsidRPr="00E336F0" w:rsidRDefault="005017C1" w:rsidP="00F476EA">
            <w:pPr>
              <w:rPr>
                <w:b/>
                <w:lang w:val="ru-RU"/>
              </w:rPr>
            </w:pPr>
          </w:p>
          <w:p w:rsidR="005017C1" w:rsidRPr="00E336F0" w:rsidRDefault="005017C1" w:rsidP="00F476EA">
            <w:pPr>
              <w:rPr>
                <w:b/>
                <w:lang w:val="ru-RU"/>
              </w:rPr>
            </w:pPr>
          </w:p>
          <w:p w:rsidR="005017C1" w:rsidRPr="00E336F0" w:rsidRDefault="005017C1" w:rsidP="00F476EA">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5017C1" w:rsidRPr="00E336F0" w:rsidRDefault="005017C1" w:rsidP="00F476EA">
            <w:pPr>
              <w:rPr>
                <w:b/>
                <w:lang w:val="en-US"/>
              </w:rPr>
            </w:pPr>
            <w:r w:rsidRPr="00E336F0">
              <w:rPr>
                <w:b/>
                <w:lang w:val="ru-RU"/>
              </w:rPr>
              <w:t>М.П.</w:t>
            </w:r>
          </w:p>
          <w:p w:rsidR="005017C1" w:rsidRPr="00E336F0" w:rsidRDefault="005017C1" w:rsidP="00F476EA">
            <w:pPr>
              <w:rPr>
                <w:b/>
              </w:rPr>
            </w:pPr>
          </w:p>
        </w:tc>
      </w:tr>
    </w:tbl>
    <w:p w:rsidR="005017C1" w:rsidRPr="00E336F0" w:rsidRDefault="005017C1" w:rsidP="005017C1">
      <w:pPr>
        <w:jc w:val="center"/>
        <w:rPr>
          <w:b/>
          <w:bCs/>
          <w:lang w:val="ru-RU"/>
        </w:rPr>
      </w:pPr>
    </w:p>
    <w:p w:rsidR="005017C1" w:rsidRPr="00E336F0" w:rsidRDefault="005017C1" w:rsidP="005017C1"/>
    <w:p w:rsidR="005017C1" w:rsidRPr="00E336F0" w:rsidRDefault="005017C1" w:rsidP="005017C1"/>
    <w:p w:rsidR="00DD03E6" w:rsidRPr="00E336F0" w:rsidRDefault="00DD03E6" w:rsidP="006126FA">
      <w:pPr>
        <w:jc w:val="center"/>
      </w:pPr>
    </w:p>
    <w:p w:rsidR="00DD03E6" w:rsidRPr="00E336F0" w:rsidRDefault="00DD03E6" w:rsidP="00DD03E6"/>
    <w:p w:rsidR="00792A32" w:rsidRPr="00E336F0" w:rsidRDefault="00792A32" w:rsidP="00792A32">
      <w:pPr>
        <w:jc w:val="center"/>
        <w:rPr>
          <w:b/>
          <w:bCs/>
          <w:lang w:val="ru-RU"/>
        </w:rPr>
      </w:pPr>
    </w:p>
    <w:p w:rsidR="00792A32" w:rsidRPr="00E336F0" w:rsidRDefault="00792A32" w:rsidP="00792A32"/>
    <w:p w:rsidR="00792A32" w:rsidRPr="00E336F0" w:rsidRDefault="00792A32" w:rsidP="00792A32"/>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lastRenderedPageBreak/>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Default="00B25AD7" w:rsidP="00B25AD7">
      <w:pPr>
        <w:jc w:val="right"/>
        <w:rPr>
          <w:b/>
          <w:bCs/>
        </w:rPr>
      </w:pPr>
      <w:r w:rsidRPr="005C1FDF">
        <w:rPr>
          <w:b/>
          <w:bCs/>
        </w:rPr>
        <w:t>Додаток №4</w:t>
      </w:r>
    </w:p>
    <w:p w:rsidR="003F5725" w:rsidRDefault="003F5725" w:rsidP="00B25AD7">
      <w:pPr>
        <w:jc w:val="right"/>
        <w:rPr>
          <w:b/>
          <w:bCs/>
        </w:rPr>
      </w:pPr>
    </w:p>
    <w:p w:rsidR="003F5725" w:rsidRDefault="003F5725" w:rsidP="003F5725">
      <w:pPr>
        <w:jc w:val="center"/>
        <w:rPr>
          <w:b/>
          <w:bCs/>
        </w:rPr>
      </w:pPr>
      <w:r>
        <w:rPr>
          <w:b/>
          <w:bCs/>
        </w:rPr>
        <w:t>Технічні та якісні вимоги до предмету закупівлі</w:t>
      </w:r>
    </w:p>
    <w:p w:rsidR="005017C1" w:rsidRDefault="005017C1" w:rsidP="003F5725">
      <w:pPr>
        <w:jc w:val="center"/>
        <w:rPr>
          <w:b/>
          <w:bCs/>
        </w:rPr>
      </w:pPr>
    </w:p>
    <w:tbl>
      <w:tblPr>
        <w:tblW w:w="9821" w:type="dxa"/>
        <w:tblInd w:w="-5" w:type="dxa"/>
        <w:tblLook w:val="04A0" w:firstRow="1" w:lastRow="0" w:firstColumn="1" w:lastColumn="0" w:noHBand="0" w:noVBand="1"/>
      </w:tblPr>
      <w:tblGrid>
        <w:gridCol w:w="1190"/>
        <w:gridCol w:w="439"/>
        <w:gridCol w:w="894"/>
        <w:gridCol w:w="5773"/>
        <w:gridCol w:w="666"/>
        <w:gridCol w:w="859"/>
      </w:tblGrid>
      <w:tr w:rsidR="005017C1" w:rsidTr="005017C1">
        <w:trPr>
          <w:trHeight w:val="271"/>
        </w:trPr>
        <w:tc>
          <w:tcPr>
            <w:tcW w:w="106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5017C1" w:rsidRDefault="005017C1">
            <w:pPr>
              <w:jc w:val="center"/>
              <w:rPr>
                <w:rFonts w:ascii="Arial" w:hAnsi="Arial" w:cs="Arial"/>
                <w:b/>
                <w:bCs/>
                <w:sz w:val="20"/>
                <w:szCs w:val="20"/>
                <w:lang w:eastAsia="uk-UA"/>
              </w:rPr>
            </w:pPr>
            <w:r>
              <w:rPr>
                <w:rFonts w:ascii="Arial" w:hAnsi="Arial" w:cs="Arial"/>
                <w:b/>
                <w:bCs/>
                <w:sz w:val="20"/>
                <w:szCs w:val="20"/>
              </w:rPr>
              <w:t>Замовник</w:t>
            </w:r>
          </w:p>
        </w:tc>
        <w:tc>
          <w:tcPr>
            <w:tcW w:w="392"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 xml:space="preserve">№ </w:t>
            </w:r>
          </w:p>
        </w:tc>
        <w:tc>
          <w:tcPr>
            <w:tcW w:w="894" w:type="dxa"/>
            <w:tcBorders>
              <w:top w:val="single" w:sz="4" w:space="0" w:color="auto"/>
              <w:left w:val="nil"/>
              <w:bottom w:val="nil"/>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 </w:t>
            </w:r>
          </w:p>
        </w:tc>
        <w:tc>
          <w:tcPr>
            <w:tcW w:w="601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Предмет закупівлі</w:t>
            </w:r>
          </w:p>
        </w:tc>
        <w:tc>
          <w:tcPr>
            <w:tcW w:w="595" w:type="dxa"/>
            <w:vMerge w:val="restart"/>
            <w:tcBorders>
              <w:top w:val="single" w:sz="4" w:space="0" w:color="auto"/>
              <w:left w:val="single" w:sz="4" w:space="0" w:color="auto"/>
              <w:bottom w:val="single" w:sz="4" w:space="0" w:color="000000"/>
              <w:right w:val="nil"/>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Од. вим.</w:t>
            </w:r>
          </w:p>
        </w:tc>
        <w:tc>
          <w:tcPr>
            <w:tcW w:w="859" w:type="dxa"/>
            <w:vMerge w:val="restart"/>
            <w:tcBorders>
              <w:top w:val="single" w:sz="4" w:space="0" w:color="auto"/>
              <w:left w:val="single" w:sz="4" w:space="0" w:color="auto"/>
              <w:bottom w:val="single" w:sz="4" w:space="0" w:color="000000"/>
              <w:right w:val="nil"/>
            </w:tcBorders>
            <w:shd w:val="clear" w:color="000000" w:fill="BDD7EE"/>
            <w:vAlign w:val="center"/>
            <w:hideMark/>
          </w:tcPr>
          <w:p w:rsidR="005017C1" w:rsidRDefault="005017C1">
            <w:pPr>
              <w:jc w:val="right"/>
              <w:rPr>
                <w:rFonts w:ascii="Arial" w:hAnsi="Arial" w:cs="Arial"/>
                <w:b/>
                <w:bCs/>
                <w:sz w:val="20"/>
                <w:szCs w:val="20"/>
              </w:rPr>
            </w:pPr>
            <w:r>
              <w:rPr>
                <w:rFonts w:ascii="Arial" w:hAnsi="Arial" w:cs="Arial"/>
                <w:b/>
                <w:bCs/>
                <w:sz w:val="20"/>
                <w:szCs w:val="20"/>
              </w:rPr>
              <w:t>К-сть</w:t>
            </w:r>
          </w:p>
        </w:tc>
      </w:tr>
      <w:tr w:rsidR="005017C1" w:rsidTr="005017C1">
        <w:trPr>
          <w:trHeight w:val="282"/>
        </w:trPr>
        <w:tc>
          <w:tcPr>
            <w:tcW w:w="1064" w:type="dxa"/>
            <w:vMerge/>
            <w:tcBorders>
              <w:top w:val="single" w:sz="4" w:space="0" w:color="auto"/>
              <w:left w:val="single" w:sz="4" w:space="0" w:color="auto"/>
              <w:bottom w:val="single" w:sz="4" w:space="0" w:color="000000"/>
              <w:right w:val="single" w:sz="4" w:space="0" w:color="auto"/>
            </w:tcBorders>
            <w:vAlign w:val="center"/>
            <w:hideMark/>
          </w:tcPr>
          <w:p w:rsidR="005017C1" w:rsidRDefault="005017C1">
            <w:pPr>
              <w:rPr>
                <w:rFonts w:ascii="Arial" w:hAnsi="Arial" w:cs="Arial"/>
                <w:b/>
                <w:bCs/>
                <w:sz w:val="20"/>
                <w:szCs w:val="20"/>
              </w:rPr>
            </w:pPr>
          </w:p>
        </w:tc>
        <w:tc>
          <w:tcPr>
            <w:tcW w:w="392" w:type="dxa"/>
            <w:vMerge/>
            <w:tcBorders>
              <w:top w:val="single" w:sz="4" w:space="0" w:color="auto"/>
              <w:left w:val="single" w:sz="4" w:space="0" w:color="auto"/>
              <w:bottom w:val="single" w:sz="4" w:space="0" w:color="000000"/>
              <w:right w:val="single" w:sz="4" w:space="0" w:color="auto"/>
            </w:tcBorders>
            <w:vAlign w:val="center"/>
            <w:hideMark/>
          </w:tcPr>
          <w:p w:rsidR="005017C1" w:rsidRDefault="005017C1">
            <w:pPr>
              <w:rPr>
                <w:rFonts w:ascii="Arial" w:hAnsi="Arial" w:cs="Arial"/>
                <w:b/>
                <w:bCs/>
                <w:sz w:val="20"/>
                <w:szCs w:val="20"/>
              </w:rPr>
            </w:pPr>
          </w:p>
        </w:tc>
        <w:tc>
          <w:tcPr>
            <w:tcW w:w="894" w:type="dxa"/>
            <w:tcBorders>
              <w:top w:val="nil"/>
              <w:left w:val="nil"/>
              <w:bottom w:val="single" w:sz="4" w:space="0" w:color="auto"/>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 </w:t>
            </w:r>
          </w:p>
        </w:tc>
        <w:tc>
          <w:tcPr>
            <w:tcW w:w="6017" w:type="dxa"/>
            <w:vMerge/>
            <w:tcBorders>
              <w:top w:val="single" w:sz="4" w:space="0" w:color="auto"/>
              <w:left w:val="single" w:sz="4" w:space="0" w:color="auto"/>
              <w:bottom w:val="single" w:sz="4" w:space="0" w:color="000000"/>
              <w:right w:val="single" w:sz="4" w:space="0" w:color="auto"/>
            </w:tcBorders>
            <w:vAlign w:val="center"/>
            <w:hideMark/>
          </w:tcPr>
          <w:p w:rsidR="005017C1" w:rsidRDefault="005017C1">
            <w:pPr>
              <w:rPr>
                <w:rFonts w:ascii="Arial" w:hAnsi="Arial" w:cs="Arial"/>
                <w:b/>
                <w:bCs/>
                <w:sz w:val="20"/>
                <w:szCs w:val="20"/>
              </w:rPr>
            </w:pPr>
          </w:p>
        </w:tc>
        <w:tc>
          <w:tcPr>
            <w:tcW w:w="595" w:type="dxa"/>
            <w:vMerge/>
            <w:tcBorders>
              <w:top w:val="single" w:sz="4" w:space="0" w:color="auto"/>
              <w:left w:val="single" w:sz="4" w:space="0" w:color="auto"/>
              <w:bottom w:val="single" w:sz="4" w:space="0" w:color="000000"/>
              <w:right w:val="nil"/>
            </w:tcBorders>
            <w:vAlign w:val="center"/>
            <w:hideMark/>
          </w:tcPr>
          <w:p w:rsidR="005017C1" w:rsidRDefault="005017C1">
            <w:pPr>
              <w:rPr>
                <w:rFonts w:ascii="Arial" w:hAnsi="Arial" w:cs="Arial"/>
                <w:b/>
                <w:bCs/>
                <w:sz w:val="20"/>
                <w:szCs w:val="20"/>
              </w:rPr>
            </w:pPr>
          </w:p>
        </w:tc>
        <w:tc>
          <w:tcPr>
            <w:tcW w:w="859" w:type="dxa"/>
            <w:vMerge/>
            <w:tcBorders>
              <w:top w:val="single" w:sz="4" w:space="0" w:color="auto"/>
              <w:left w:val="single" w:sz="4" w:space="0" w:color="auto"/>
              <w:bottom w:val="single" w:sz="4" w:space="0" w:color="000000"/>
              <w:right w:val="nil"/>
            </w:tcBorders>
            <w:vAlign w:val="center"/>
            <w:hideMark/>
          </w:tcPr>
          <w:p w:rsidR="005017C1" w:rsidRDefault="005017C1">
            <w:pPr>
              <w:rPr>
                <w:rFonts w:ascii="Arial" w:hAnsi="Arial" w:cs="Arial"/>
                <w:b/>
                <w:bCs/>
                <w:sz w:val="20"/>
                <w:szCs w:val="20"/>
              </w:rPr>
            </w:pPr>
          </w:p>
        </w:tc>
      </w:tr>
      <w:tr w:rsidR="005017C1" w:rsidTr="005017C1">
        <w:trPr>
          <w:trHeight w:val="282"/>
        </w:trPr>
        <w:tc>
          <w:tcPr>
            <w:tcW w:w="1064" w:type="dxa"/>
            <w:tcBorders>
              <w:top w:val="nil"/>
              <w:left w:val="single" w:sz="4" w:space="0" w:color="auto"/>
              <w:bottom w:val="single" w:sz="4" w:space="0" w:color="auto"/>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 </w:t>
            </w:r>
          </w:p>
        </w:tc>
        <w:tc>
          <w:tcPr>
            <w:tcW w:w="392" w:type="dxa"/>
            <w:tcBorders>
              <w:top w:val="nil"/>
              <w:left w:val="nil"/>
              <w:bottom w:val="single" w:sz="4" w:space="0" w:color="auto"/>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 </w:t>
            </w:r>
          </w:p>
        </w:tc>
        <w:tc>
          <w:tcPr>
            <w:tcW w:w="894" w:type="dxa"/>
            <w:tcBorders>
              <w:top w:val="nil"/>
              <w:left w:val="nil"/>
              <w:bottom w:val="single" w:sz="4" w:space="0" w:color="auto"/>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 </w:t>
            </w:r>
          </w:p>
        </w:tc>
        <w:tc>
          <w:tcPr>
            <w:tcW w:w="6017" w:type="dxa"/>
            <w:tcBorders>
              <w:top w:val="nil"/>
              <w:left w:val="nil"/>
              <w:bottom w:val="single" w:sz="4" w:space="0" w:color="auto"/>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 </w:t>
            </w:r>
          </w:p>
        </w:tc>
        <w:tc>
          <w:tcPr>
            <w:tcW w:w="595" w:type="dxa"/>
            <w:tcBorders>
              <w:top w:val="nil"/>
              <w:left w:val="nil"/>
              <w:bottom w:val="single" w:sz="4" w:space="0" w:color="auto"/>
              <w:right w:val="single" w:sz="4" w:space="0" w:color="auto"/>
            </w:tcBorders>
            <w:shd w:val="clear" w:color="000000" w:fill="BDD7EE"/>
            <w:vAlign w:val="center"/>
            <w:hideMark/>
          </w:tcPr>
          <w:p w:rsidR="005017C1" w:rsidRDefault="005017C1">
            <w:pPr>
              <w:jc w:val="center"/>
              <w:rPr>
                <w:rFonts w:ascii="Arial" w:hAnsi="Arial" w:cs="Arial"/>
                <w:b/>
                <w:bCs/>
                <w:sz w:val="20"/>
                <w:szCs w:val="20"/>
              </w:rPr>
            </w:pPr>
            <w:r>
              <w:rPr>
                <w:rFonts w:ascii="Arial" w:hAnsi="Arial" w:cs="Arial"/>
                <w:b/>
                <w:bCs/>
                <w:sz w:val="20"/>
                <w:szCs w:val="20"/>
              </w:rPr>
              <w:t> </w:t>
            </w:r>
          </w:p>
        </w:tc>
        <w:tc>
          <w:tcPr>
            <w:tcW w:w="859" w:type="dxa"/>
            <w:tcBorders>
              <w:top w:val="nil"/>
              <w:left w:val="nil"/>
              <w:bottom w:val="single" w:sz="4" w:space="0" w:color="auto"/>
              <w:right w:val="single" w:sz="4" w:space="0" w:color="auto"/>
            </w:tcBorders>
            <w:shd w:val="clear" w:color="000000" w:fill="BDD7EE"/>
            <w:vAlign w:val="center"/>
            <w:hideMark/>
          </w:tcPr>
          <w:p w:rsidR="005017C1" w:rsidRDefault="005017C1">
            <w:pPr>
              <w:jc w:val="right"/>
              <w:rPr>
                <w:rFonts w:ascii="Arial" w:hAnsi="Arial" w:cs="Arial"/>
                <w:b/>
                <w:bCs/>
                <w:sz w:val="20"/>
                <w:szCs w:val="20"/>
              </w:rPr>
            </w:pPr>
            <w:r>
              <w:rPr>
                <w:rFonts w:ascii="Arial" w:hAnsi="Arial" w:cs="Arial"/>
                <w:b/>
                <w:bCs/>
                <w:sz w:val="20"/>
                <w:szCs w:val="20"/>
              </w:rPr>
              <w:t> </w:t>
            </w:r>
          </w:p>
        </w:tc>
      </w:tr>
      <w:tr w:rsidR="005017C1" w:rsidTr="005017C1">
        <w:trPr>
          <w:trHeight w:val="493"/>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5017C1" w:rsidRDefault="005017C1">
            <w:pPr>
              <w:rPr>
                <w:rFonts w:ascii="Arial" w:hAnsi="Arial" w:cs="Arial"/>
                <w:sz w:val="20"/>
                <w:szCs w:val="20"/>
              </w:rPr>
            </w:pPr>
            <w:r>
              <w:rPr>
                <w:rFonts w:ascii="Arial" w:hAnsi="Arial" w:cs="Arial"/>
                <w:sz w:val="20"/>
                <w:szCs w:val="20"/>
              </w:rPr>
              <w:t>ВУЕ</w:t>
            </w:r>
          </w:p>
        </w:tc>
        <w:tc>
          <w:tcPr>
            <w:tcW w:w="392" w:type="dxa"/>
            <w:tcBorders>
              <w:top w:val="nil"/>
              <w:left w:val="nil"/>
              <w:bottom w:val="single" w:sz="4" w:space="0" w:color="auto"/>
              <w:right w:val="single" w:sz="4" w:space="0" w:color="auto"/>
            </w:tcBorders>
            <w:shd w:val="clear" w:color="auto" w:fill="auto"/>
            <w:noWrap/>
            <w:vAlign w:val="bottom"/>
            <w:hideMark/>
          </w:tcPr>
          <w:p w:rsidR="005017C1" w:rsidRDefault="005017C1">
            <w:pPr>
              <w:jc w:val="right"/>
              <w:rPr>
                <w:rFonts w:ascii="Arial" w:hAnsi="Arial" w:cs="Arial"/>
                <w:sz w:val="20"/>
                <w:szCs w:val="20"/>
              </w:rPr>
            </w:pPr>
            <w:r>
              <w:rPr>
                <w:rFonts w:ascii="Arial" w:hAnsi="Arial" w:cs="Arial"/>
                <w:sz w:val="20"/>
                <w:szCs w:val="20"/>
              </w:rPr>
              <w:t>1</w:t>
            </w:r>
          </w:p>
        </w:tc>
        <w:tc>
          <w:tcPr>
            <w:tcW w:w="894" w:type="dxa"/>
            <w:tcBorders>
              <w:top w:val="nil"/>
              <w:left w:val="nil"/>
              <w:bottom w:val="single" w:sz="4" w:space="0" w:color="auto"/>
              <w:right w:val="single" w:sz="4" w:space="0" w:color="auto"/>
            </w:tcBorders>
            <w:shd w:val="clear" w:color="auto" w:fill="auto"/>
            <w:noWrap/>
            <w:vAlign w:val="bottom"/>
            <w:hideMark/>
          </w:tcPr>
          <w:p w:rsidR="005017C1" w:rsidRDefault="005017C1">
            <w:pPr>
              <w:rPr>
                <w:rFonts w:ascii="Arial" w:hAnsi="Arial" w:cs="Arial"/>
                <w:sz w:val="20"/>
                <w:szCs w:val="20"/>
              </w:rPr>
            </w:pPr>
            <w:r>
              <w:rPr>
                <w:rFonts w:ascii="Arial" w:hAnsi="Arial" w:cs="Arial"/>
                <w:sz w:val="20"/>
                <w:szCs w:val="20"/>
              </w:rPr>
              <w:t>2.5.41</w:t>
            </w:r>
          </w:p>
        </w:tc>
        <w:tc>
          <w:tcPr>
            <w:tcW w:w="6017" w:type="dxa"/>
            <w:tcBorders>
              <w:top w:val="nil"/>
              <w:left w:val="nil"/>
              <w:bottom w:val="single" w:sz="4" w:space="0" w:color="auto"/>
              <w:right w:val="single" w:sz="4" w:space="0" w:color="auto"/>
            </w:tcBorders>
            <w:shd w:val="clear" w:color="auto" w:fill="auto"/>
            <w:vAlign w:val="bottom"/>
            <w:hideMark/>
          </w:tcPr>
          <w:p w:rsidR="005017C1" w:rsidRDefault="005017C1">
            <w:pPr>
              <w:rPr>
                <w:rFonts w:ascii="Arial" w:hAnsi="Arial" w:cs="Arial"/>
                <w:sz w:val="20"/>
                <w:szCs w:val="20"/>
              </w:rPr>
            </w:pPr>
            <w:r>
              <w:rPr>
                <w:rFonts w:ascii="Arial" w:hAnsi="Arial" w:cs="Arial"/>
                <w:sz w:val="20"/>
                <w:szCs w:val="20"/>
              </w:rPr>
              <w:t xml:space="preserve">Індикатор працездатності схем обліку 13935838.000003-01 КЕ (6,5кВт, Ктт) </w:t>
            </w:r>
            <w:r>
              <w:rPr>
                <w:rFonts w:ascii="Arial" w:hAnsi="Arial" w:cs="Arial"/>
                <w:sz w:val="20"/>
                <w:szCs w:val="20"/>
              </w:rPr>
              <w:t xml:space="preserve"> або еквівалент</w:t>
            </w:r>
          </w:p>
        </w:tc>
        <w:tc>
          <w:tcPr>
            <w:tcW w:w="595" w:type="dxa"/>
            <w:tcBorders>
              <w:top w:val="nil"/>
              <w:left w:val="nil"/>
              <w:bottom w:val="single" w:sz="4" w:space="0" w:color="auto"/>
              <w:right w:val="single" w:sz="4" w:space="0" w:color="auto"/>
            </w:tcBorders>
            <w:shd w:val="clear" w:color="000000" w:fill="FFFFFF"/>
            <w:noWrap/>
            <w:vAlign w:val="center"/>
            <w:hideMark/>
          </w:tcPr>
          <w:p w:rsidR="005017C1" w:rsidRDefault="005017C1">
            <w:pPr>
              <w:jc w:val="center"/>
              <w:rPr>
                <w:rFonts w:ascii="Arial" w:hAnsi="Arial" w:cs="Arial"/>
                <w:sz w:val="20"/>
                <w:szCs w:val="20"/>
              </w:rPr>
            </w:pPr>
            <w:r>
              <w:rPr>
                <w:rFonts w:ascii="Arial" w:hAnsi="Arial" w:cs="Arial"/>
                <w:sz w:val="20"/>
                <w:szCs w:val="20"/>
              </w:rPr>
              <w:t>шт</w:t>
            </w:r>
          </w:p>
        </w:tc>
        <w:tc>
          <w:tcPr>
            <w:tcW w:w="859" w:type="dxa"/>
            <w:tcBorders>
              <w:top w:val="nil"/>
              <w:left w:val="nil"/>
              <w:bottom w:val="single" w:sz="4" w:space="0" w:color="auto"/>
              <w:right w:val="single" w:sz="4" w:space="0" w:color="auto"/>
            </w:tcBorders>
            <w:shd w:val="clear" w:color="auto" w:fill="auto"/>
            <w:noWrap/>
            <w:vAlign w:val="center"/>
            <w:hideMark/>
          </w:tcPr>
          <w:p w:rsidR="005017C1" w:rsidRDefault="005017C1">
            <w:pPr>
              <w:jc w:val="right"/>
              <w:rPr>
                <w:rFonts w:ascii="Arial" w:hAnsi="Arial" w:cs="Arial"/>
                <w:sz w:val="20"/>
                <w:szCs w:val="20"/>
              </w:rPr>
            </w:pPr>
            <w:r>
              <w:rPr>
                <w:rFonts w:ascii="Arial" w:hAnsi="Arial" w:cs="Arial"/>
                <w:sz w:val="20"/>
                <w:szCs w:val="20"/>
              </w:rPr>
              <w:t>5,00</w:t>
            </w:r>
          </w:p>
        </w:tc>
      </w:tr>
      <w:tr w:rsidR="005017C1" w:rsidTr="005017C1">
        <w:trPr>
          <w:trHeight w:val="282"/>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5017C1" w:rsidRDefault="005017C1">
            <w:pPr>
              <w:rPr>
                <w:rFonts w:ascii="Arial" w:hAnsi="Arial" w:cs="Arial"/>
                <w:sz w:val="20"/>
                <w:szCs w:val="20"/>
              </w:rPr>
            </w:pPr>
            <w:r>
              <w:rPr>
                <w:rFonts w:ascii="Arial" w:hAnsi="Arial" w:cs="Arial"/>
                <w:sz w:val="20"/>
                <w:szCs w:val="20"/>
              </w:rPr>
              <w:t>ВУЕ</w:t>
            </w:r>
          </w:p>
        </w:tc>
        <w:tc>
          <w:tcPr>
            <w:tcW w:w="392" w:type="dxa"/>
            <w:tcBorders>
              <w:top w:val="nil"/>
              <w:left w:val="nil"/>
              <w:bottom w:val="single" w:sz="4" w:space="0" w:color="auto"/>
              <w:right w:val="single" w:sz="4" w:space="0" w:color="auto"/>
            </w:tcBorders>
            <w:shd w:val="clear" w:color="auto" w:fill="auto"/>
            <w:noWrap/>
            <w:vAlign w:val="bottom"/>
            <w:hideMark/>
          </w:tcPr>
          <w:p w:rsidR="005017C1" w:rsidRDefault="005017C1">
            <w:pPr>
              <w:jc w:val="right"/>
              <w:rPr>
                <w:rFonts w:ascii="Arial" w:hAnsi="Arial" w:cs="Arial"/>
                <w:sz w:val="20"/>
                <w:szCs w:val="20"/>
              </w:rPr>
            </w:pPr>
            <w:r>
              <w:rPr>
                <w:rFonts w:ascii="Arial" w:hAnsi="Arial" w:cs="Arial"/>
                <w:sz w:val="20"/>
                <w:szCs w:val="20"/>
              </w:rPr>
              <w:t>2</w:t>
            </w:r>
          </w:p>
        </w:tc>
        <w:tc>
          <w:tcPr>
            <w:tcW w:w="894" w:type="dxa"/>
            <w:tcBorders>
              <w:top w:val="nil"/>
              <w:left w:val="nil"/>
              <w:bottom w:val="single" w:sz="4" w:space="0" w:color="auto"/>
              <w:right w:val="single" w:sz="4" w:space="0" w:color="auto"/>
            </w:tcBorders>
            <w:shd w:val="clear" w:color="auto" w:fill="auto"/>
            <w:noWrap/>
            <w:vAlign w:val="bottom"/>
            <w:hideMark/>
          </w:tcPr>
          <w:p w:rsidR="005017C1" w:rsidRDefault="005017C1">
            <w:pPr>
              <w:rPr>
                <w:rFonts w:ascii="Arial" w:hAnsi="Arial" w:cs="Arial"/>
                <w:sz w:val="20"/>
                <w:szCs w:val="20"/>
              </w:rPr>
            </w:pPr>
            <w:r>
              <w:rPr>
                <w:rFonts w:ascii="Arial" w:hAnsi="Arial" w:cs="Arial"/>
                <w:sz w:val="20"/>
                <w:szCs w:val="20"/>
              </w:rPr>
              <w:t>2.5.42</w:t>
            </w:r>
          </w:p>
        </w:tc>
        <w:tc>
          <w:tcPr>
            <w:tcW w:w="6017" w:type="dxa"/>
            <w:tcBorders>
              <w:top w:val="nil"/>
              <w:left w:val="nil"/>
              <w:bottom w:val="single" w:sz="4" w:space="0" w:color="auto"/>
              <w:right w:val="single" w:sz="4" w:space="0" w:color="auto"/>
            </w:tcBorders>
            <w:shd w:val="clear" w:color="auto" w:fill="auto"/>
            <w:vAlign w:val="bottom"/>
            <w:hideMark/>
          </w:tcPr>
          <w:p w:rsidR="005017C1" w:rsidRDefault="005017C1">
            <w:pPr>
              <w:rPr>
                <w:rFonts w:ascii="Arial" w:hAnsi="Arial" w:cs="Arial"/>
                <w:sz w:val="20"/>
                <w:szCs w:val="20"/>
              </w:rPr>
            </w:pPr>
            <w:r>
              <w:rPr>
                <w:rFonts w:ascii="Arial" w:hAnsi="Arial" w:cs="Arial"/>
                <w:sz w:val="20"/>
                <w:szCs w:val="20"/>
              </w:rPr>
              <w:t xml:space="preserve">Індикатор працездатності схем обліку 000004-01РЭ (1,4 кВт) </w:t>
            </w:r>
            <w:r>
              <w:rPr>
                <w:rFonts w:ascii="Arial" w:hAnsi="Arial" w:cs="Arial"/>
                <w:sz w:val="20"/>
                <w:szCs w:val="20"/>
              </w:rPr>
              <w:t xml:space="preserve"> або еквівалент</w:t>
            </w:r>
          </w:p>
        </w:tc>
        <w:tc>
          <w:tcPr>
            <w:tcW w:w="595" w:type="dxa"/>
            <w:tcBorders>
              <w:top w:val="nil"/>
              <w:left w:val="nil"/>
              <w:bottom w:val="single" w:sz="4" w:space="0" w:color="auto"/>
              <w:right w:val="single" w:sz="4" w:space="0" w:color="auto"/>
            </w:tcBorders>
            <w:shd w:val="clear" w:color="000000" w:fill="FFFFFF"/>
            <w:noWrap/>
            <w:vAlign w:val="center"/>
            <w:hideMark/>
          </w:tcPr>
          <w:p w:rsidR="005017C1" w:rsidRDefault="005017C1">
            <w:pPr>
              <w:jc w:val="center"/>
              <w:rPr>
                <w:rFonts w:ascii="Arial" w:hAnsi="Arial" w:cs="Arial"/>
                <w:sz w:val="20"/>
                <w:szCs w:val="20"/>
              </w:rPr>
            </w:pPr>
            <w:r>
              <w:rPr>
                <w:rFonts w:ascii="Arial" w:hAnsi="Arial" w:cs="Arial"/>
                <w:sz w:val="20"/>
                <w:szCs w:val="20"/>
              </w:rPr>
              <w:t>шт</w:t>
            </w:r>
          </w:p>
        </w:tc>
        <w:tc>
          <w:tcPr>
            <w:tcW w:w="859" w:type="dxa"/>
            <w:tcBorders>
              <w:top w:val="nil"/>
              <w:left w:val="nil"/>
              <w:bottom w:val="single" w:sz="4" w:space="0" w:color="auto"/>
              <w:right w:val="single" w:sz="4" w:space="0" w:color="auto"/>
            </w:tcBorders>
            <w:shd w:val="clear" w:color="auto" w:fill="auto"/>
            <w:noWrap/>
            <w:vAlign w:val="center"/>
            <w:hideMark/>
          </w:tcPr>
          <w:p w:rsidR="005017C1" w:rsidRDefault="005017C1">
            <w:pPr>
              <w:jc w:val="right"/>
              <w:rPr>
                <w:rFonts w:ascii="Arial" w:hAnsi="Arial" w:cs="Arial"/>
                <w:sz w:val="20"/>
                <w:szCs w:val="20"/>
              </w:rPr>
            </w:pPr>
            <w:r>
              <w:rPr>
                <w:rFonts w:ascii="Arial" w:hAnsi="Arial" w:cs="Arial"/>
                <w:sz w:val="20"/>
                <w:szCs w:val="20"/>
              </w:rPr>
              <w:t>8,00</w:t>
            </w:r>
          </w:p>
        </w:tc>
      </w:tr>
    </w:tbl>
    <w:p w:rsidR="005017C1" w:rsidRDefault="005017C1" w:rsidP="003F5725">
      <w:pPr>
        <w:jc w:val="center"/>
        <w:rPr>
          <w:b/>
          <w:bCs/>
        </w:rPr>
      </w:pPr>
    </w:p>
    <w:p w:rsidR="005017C1" w:rsidRDefault="005017C1" w:rsidP="005017C1">
      <w:pPr>
        <w:ind w:firstLine="720"/>
        <w:jc w:val="both"/>
        <w:rPr>
          <w:b/>
        </w:rPr>
      </w:pPr>
      <w:r w:rsidRPr="00570048">
        <w:rPr>
          <w:b/>
        </w:rPr>
        <w:t>Індикатор працездатності схем обліку 13935838.000003-01 КЕ (6,5кВт, Ктт)</w:t>
      </w:r>
      <w:r>
        <w:rPr>
          <w:b/>
        </w:rPr>
        <w:t xml:space="preserve"> або еквівалент</w:t>
      </w:r>
    </w:p>
    <w:p w:rsidR="005017C1" w:rsidRPr="00B747EF" w:rsidRDefault="005017C1" w:rsidP="005017C1">
      <w:pPr>
        <w:ind w:firstLine="720"/>
        <w:jc w:val="both"/>
      </w:pPr>
      <w:r w:rsidRPr="00B747EF">
        <w:rPr>
          <w:b/>
        </w:rPr>
        <w:t>1.</w:t>
      </w:r>
      <w:r w:rsidRPr="00B747EF">
        <w:t xml:space="preserve"> Прилад </w:t>
      </w:r>
      <w:r w:rsidRPr="00B06188">
        <w:t>індикатор працездатності схем обліку (номінальна потужність 6,5 кВт, максимальна потужність 7 кВт</w:t>
      </w:r>
      <w:r w:rsidRPr="00B747EF">
        <w:t xml:space="preserve">) призначений для перевірки працездатності схем обліку електричної енергії напругою до 0,4 кВ. </w:t>
      </w:r>
    </w:p>
    <w:p w:rsidR="005017C1" w:rsidRDefault="005017C1" w:rsidP="005017C1">
      <w:pPr>
        <w:ind w:firstLine="720"/>
        <w:jc w:val="both"/>
        <w:rPr>
          <w:b/>
        </w:rPr>
      </w:pPr>
      <w:r w:rsidRPr="008471E8">
        <w:rPr>
          <w:b/>
          <w:u w:val="single"/>
        </w:rPr>
        <w:t>Характеристики</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026"/>
        <w:gridCol w:w="3360"/>
      </w:tblGrid>
      <w:tr w:rsidR="005017C1" w:rsidRPr="00157A99" w:rsidTr="00F476EA">
        <w:tc>
          <w:tcPr>
            <w:tcW w:w="560" w:type="dxa"/>
            <w:shd w:val="clear" w:color="auto" w:fill="BFBFBF"/>
          </w:tcPr>
          <w:p w:rsidR="005017C1" w:rsidRPr="00157A99" w:rsidRDefault="005017C1" w:rsidP="00F476EA">
            <w:pPr>
              <w:jc w:val="center"/>
              <w:rPr>
                <w:b/>
              </w:rPr>
            </w:pPr>
            <w:r w:rsidRPr="00157A99">
              <w:rPr>
                <w:b/>
              </w:rPr>
              <w:t>№</w:t>
            </w:r>
          </w:p>
          <w:p w:rsidR="005017C1" w:rsidRPr="00157A99" w:rsidRDefault="005017C1" w:rsidP="00F476EA">
            <w:pPr>
              <w:jc w:val="center"/>
              <w:rPr>
                <w:b/>
              </w:rPr>
            </w:pPr>
            <w:r w:rsidRPr="00157A99">
              <w:rPr>
                <w:b/>
              </w:rPr>
              <w:t>п/п</w:t>
            </w:r>
          </w:p>
        </w:tc>
        <w:tc>
          <w:tcPr>
            <w:tcW w:w="6069" w:type="dxa"/>
            <w:shd w:val="clear" w:color="auto" w:fill="BFBFBF"/>
          </w:tcPr>
          <w:p w:rsidR="005017C1" w:rsidRPr="00157A99" w:rsidRDefault="005017C1" w:rsidP="00F476EA">
            <w:pPr>
              <w:jc w:val="center"/>
              <w:rPr>
                <w:b/>
              </w:rPr>
            </w:pPr>
            <w:r w:rsidRPr="00157A99">
              <w:rPr>
                <w:b/>
              </w:rPr>
              <w:t>Назва параметру</w:t>
            </w:r>
          </w:p>
        </w:tc>
        <w:tc>
          <w:tcPr>
            <w:tcW w:w="3379" w:type="dxa"/>
            <w:shd w:val="clear" w:color="auto" w:fill="BFBFBF"/>
          </w:tcPr>
          <w:p w:rsidR="005017C1" w:rsidRPr="00157A99" w:rsidRDefault="005017C1" w:rsidP="00F476EA">
            <w:pPr>
              <w:jc w:val="center"/>
              <w:rPr>
                <w:b/>
              </w:rPr>
            </w:pPr>
            <w:r w:rsidRPr="00157A99">
              <w:rPr>
                <w:b/>
              </w:rPr>
              <w:t>Величина параметру</w:t>
            </w:r>
          </w:p>
        </w:tc>
      </w:tr>
      <w:tr w:rsidR="005017C1" w:rsidRPr="00157A99" w:rsidTr="00F476EA">
        <w:trPr>
          <w:trHeight w:val="250"/>
        </w:trPr>
        <w:tc>
          <w:tcPr>
            <w:tcW w:w="560" w:type="dxa"/>
            <w:shd w:val="clear" w:color="auto" w:fill="auto"/>
          </w:tcPr>
          <w:p w:rsidR="005017C1" w:rsidRPr="00157A99" w:rsidRDefault="005017C1" w:rsidP="00F476EA">
            <w:pPr>
              <w:jc w:val="center"/>
              <w:rPr>
                <w:b/>
              </w:rPr>
            </w:pPr>
            <w:r w:rsidRPr="00157A99">
              <w:rPr>
                <w:b/>
              </w:rPr>
              <w:t>1</w:t>
            </w:r>
          </w:p>
        </w:tc>
        <w:tc>
          <w:tcPr>
            <w:tcW w:w="6069" w:type="dxa"/>
            <w:shd w:val="clear" w:color="auto" w:fill="auto"/>
          </w:tcPr>
          <w:p w:rsidR="005017C1" w:rsidRPr="00E660A8" w:rsidRDefault="005017C1" w:rsidP="00F476EA">
            <w:pPr>
              <w:jc w:val="both"/>
            </w:pPr>
            <w:r w:rsidRPr="00E660A8">
              <w:t>Маса індикатора з сумкою (кг) , не більше</w:t>
            </w:r>
          </w:p>
        </w:tc>
        <w:tc>
          <w:tcPr>
            <w:tcW w:w="3379" w:type="dxa"/>
            <w:shd w:val="clear" w:color="auto" w:fill="auto"/>
          </w:tcPr>
          <w:p w:rsidR="005017C1" w:rsidRPr="00E660A8" w:rsidRDefault="005017C1" w:rsidP="00F476EA">
            <w:pPr>
              <w:jc w:val="center"/>
            </w:pPr>
            <w:r>
              <w:t>13,5</w:t>
            </w:r>
          </w:p>
        </w:tc>
      </w:tr>
      <w:tr w:rsidR="005017C1" w:rsidRPr="00157A99" w:rsidTr="00F476EA">
        <w:tc>
          <w:tcPr>
            <w:tcW w:w="560" w:type="dxa"/>
            <w:shd w:val="clear" w:color="auto" w:fill="auto"/>
          </w:tcPr>
          <w:p w:rsidR="005017C1" w:rsidRPr="00157A99" w:rsidRDefault="005017C1" w:rsidP="00F476EA">
            <w:pPr>
              <w:jc w:val="center"/>
              <w:rPr>
                <w:b/>
              </w:rPr>
            </w:pPr>
            <w:r w:rsidRPr="00157A99">
              <w:rPr>
                <w:b/>
              </w:rPr>
              <w:t>2</w:t>
            </w:r>
          </w:p>
        </w:tc>
        <w:tc>
          <w:tcPr>
            <w:tcW w:w="6069" w:type="dxa"/>
            <w:shd w:val="clear" w:color="auto" w:fill="auto"/>
          </w:tcPr>
          <w:p w:rsidR="005017C1" w:rsidRPr="00E660A8" w:rsidRDefault="005017C1" w:rsidP="00F476EA">
            <w:pPr>
              <w:jc w:val="both"/>
            </w:pPr>
            <w:r w:rsidRPr="00E660A8">
              <w:t>Потужність споживання (кВт) не більше</w:t>
            </w:r>
          </w:p>
        </w:tc>
        <w:tc>
          <w:tcPr>
            <w:tcW w:w="3379" w:type="dxa"/>
            <w:shd w:val="clear" w:color="auto" w:fill="auto"/>
          </w:tcPr>
          <w:p w:rsidR="005017C1" w:rsidRPr="00E660A8" w:rsidRDefault="005017C1" w:rsidP="00F476EA">
            <w:pPr>
              <w:jc w:val="center"/>
            </w:pPr>
            <w:r>
              <w:t>7,0</w:t>
            </w:r>
          </w:p>
        </w:tc>
      </w:tr>
      <w:tr w:rsidR="005017C1" w:rsidRPr="00157A99" w:rsidTr="00F476EA">
        <w:tc>
          <w:tcPr>
            <w:tcW w:w="560" w:type="dxa"/>
            <w:shd w:val="clear" w:color="auto" w:fill="auto"/>
          </w:tcPr>
          <w:p w:rsidR="005017C1" w:rsidRPr="00157A99" w:rsidRDefault="005017C1" w:rsidP="00F476EA">
            <w:pPr>
              <w:jc w:val="center"/>
              <w:rPr>
                <w:b/>
              </w:rPr>
            </w:pPr>
            <w:r w:rsidRPr="00157A99">
              <w:rPr>
                <w:b/>
              </w:rPr>
              <w:t>3</w:t>
            </w:r>
          </w:p>
        </w:tc>
        <w:tc>
          <w:tcPr>
            <w:tcW w:w="6069" w:type="dxa"/>
            <w:shd w:val="clear" w:color="auto" w:fill="auto"/>
          </w:tcPr>
          <w:p w:rsidR="005017C1" w:rsidRPr="00E660A8" w:rsidRDefault="005017C1" w:rsidP="00F476EA">
            <w:pPr>
              <w:jc w:val="both"/>
            </w:pPr>
            <w:r>
              <w:t>Робоча напруга частоти 50 Гц,(В)</w:t>
            </w:r>
          </w:p>
        </w:tc>
        <w:tc>
          <w:tcPr>
            <w:tcW w:w="3379" w:type="dxa"/>
            <w:shd w:val="clear" w:color="auto" w:fill="auto"/>
          </w:tcPr>
          <w:p w:rsidR="005017C1" w:rsidRPr="00E660A8" w:rsidRDefault="005017C1" w:rsidP="00F476EA">
            <w:pPr>
              <w:jc w:val="center"/>
            </w:pPr>
            <w:r>
              <w:t>220±20</w:t>
            </w:r>
          </w:p>
        </w:tc>
      </w:tr>
      <w:tr w:rsidR="005017C1" w:rsidRPr="00157A99" w:rsidTr="00F476EA">
        <w:tc>
          <w:tcPr>
            <w:tcW w:w="560" w:type="dxa"/>
            <w:shd w:val="clear" w:color="auto" w:fill="auto"/>
          </w:tcPr>
          <w:p w:rsidR="005017C1" w:rsidRPr="00157A99" w:rsidRDefault="005017C1" w:rsidP="00F476EA">
            <w:pPr>
              <w:jc w:val="center"/>
              <w:rPr>
                <w:b/>
              </w:rPr>
            </w:pPr>
            <w:r w:rsidRPr="00157A99">
              <w:rPr>
                <w:b/>
              </w:rPr>
              <w:t>4</w:t>
            </w:r>
          </w:p>
        </w:tc>
        <w:tc>
          <w:tcPr>
            <w:tcW w:w="6069" w:type="dxa"/>
            <w:shd w:val="clear" w:color="auto" w:fill="auto"/>
          </w:tcPr>
          <w:p w:rsidR="005017C1" w:rsidRPr="00E660A8" w:rsidRDefault="005017C1" w:rsidP="00F476EA">
            <w:pPr>
              <w:jc w:val="both"/>
            </w:pPr>
            <w:r>
              <w:t>Максимальний струм  в ланцюгу навантаження</w:t>
            </w:r>
          </w:p>
        </w:tc>
        <w:tc>
          <w:tcPr>
            <w:tcW w:w="3379" w:type="dxa"/>
            <w:shd w:val="clear" w:color="auto" w:fill="auto"/>
          </w:tcPr>
          <w:p w:rsidR="005017C1" w:rsidRPr="00E660A8" w:rsidRDefault="005017C1" w:rsidP="00F476EA">
            <w:pPr>
              <w:jc w:val="center"/>
            </w:pPr>
            <w:r>
              <w:t>35</w:t>
            </w:r>
          </w:p>
        </w:tc>
      </w:tr>
      <w:tr w:rsidR="005017C1" w:rsidRPr="00157A99" w:rsidTr="00F476EA">
        <w:tc>
          <w:tcPr>
            <w:tcW w:w="560" w:type="dxa"/>
            <w:shd w:val="clear" w:color="auto" w:fill="auto"/>
          </w:tcPr>
          <w:p w:rsidR="005017C1" w:rsidRPr="00157A99" w:rsidRDefault="005017C1" w:rsidP="00F476EA">
            <w:pPr>
              <w:jc w:val="center"/>
              <w:rPr>
                <w:b/>
              </w:rPr>
            </w:pPr>
            <w:r w:rsidRPr="00157A99">
              <w:rPr>
                <w:b/>
              </w:rPr>
              <w:t>5</w:t>
            </w:r>
          </w:p>
        </w:tc>
        <w:tc>
          <w:tcPr>
            <w:tcW w:w="6069" w:type="dxa"/>
            <w:shd w:val="clear" w:color="auto" w:fill="auto"/>
          </w:tcPr>
          <w:p w:rsidR="005017C1" w:rsidRPr="00E660A8" w:rsidRDefault="005017C1" w:rsidP="00F476EA">
            <w:pPr>
              <w:jc w:val="both"/>
            </w:pPr>
            <w:r>
              <w:t>Габаритні розміри (мм), не більше (ДхШхВ)</w:t>
            </w:r>
          </w:p>
        </w:tc>
        <w:tc>
          <w:tcPr>
            <w:tcW w:w="3379" w:type="dxa"/>
            <w:shd w:val="clear" w:color="auto" w:fill="auto"/>
          </w:tcPr>
          <w:p w:rsidR="005017C1" w:rsidRPr="00E660A8" w:rsidRDefault="005017C1" w:rsidP="00F476EA">
            <w:pPr>
              <w:jc w:val="center"/>
            </w:pPr>
            <w:r>
              <w:t>150/460/360</w:t>
            </w:r>
          </w:p>
        </w:tc>
      </w:tr>
      <w:tr w:rsidR="005017C1" w:rsidRPr="00157A99" w:rsidTr="00F476EA">
        <w:tc>
          <w:tcPr>
            <w:tcW w:w="560" w:type="dxa"/>
            <w:shd w:val="clear" w:color="auto" w:fill="auto"/>
          </w:tcPr>
          <w:p w:rsidR="005017C1" w:rsidRPr="00157A99" w:rsidRDefault="005017C1" w:rsidP="00F476EA">
            <w:pPr>
              <w:jc w:val="center"/>
              <w:rPr>
                <w:b/>
              </w:rPr>
            </w:pPr>
            <w:r w:rsidRPr="00157A99">
              <w:rPr>
                <w:b/>
              </w:rPr>
              <w:t>6</w:t>
            </w:r>
          </w:p>
        </w:tc>
        <w:tc>
          <w:tcPr>
            <w:tcW w:w="6069" w:type="dxa"/>
            <w:shd w:val="clear" w:color="auto" w:fill="auto"/>
          </w:tcPr>
          <w:p w:rsidR="005017C1" w:rsidRPr="00E660A8" w:rsidRDefault="005017C1" w:rsidP="00F476EA">
            <w:pPr>
              <w:jc w:val="both"/>
            </w:pPr>
            <w:r>
              <w:t>Час роботи, (хв), не більше</w:t>
            </w:r>
          </w:p>
        </w:tc>
        <w:tc>
          <w:tcPr>
            <w:tcW w:w="3379" w:type="dxa"/>
            <w:shd w:val="clear" w:color="auto" w:fill="auto"/>
          </w:tcPr>
          <w:p w:rsidR="005017C1" w:rsidRPr="00E660A8" w:rsidRDefault="005017C1" w:rsidP="00F476EA">
            <w:pPr>
              <w:jc w:val="center"/>
            </w:pPr>
            <w:r>
              <w:t>30</w:t>
            </w:r>
          </w:p>
        </w:tc>
      </w:tr>
    </w:tbl>
    <w:p w:rsidR="005017C1" w:rsidRDefault="005017C1" w:rsidP="005017C1">
      <w:pPr>
        <w:ind w:firstLine="720"/>
        <w:jc w:val="both"/>
        <w:rPr>
          <w:b/>
        </w:rPr>
      </w:pPr>
    </w:p>
    <w:p w:rsidR="005017C1" w:rsidRDefault="005017C1" w:rsidP="005017C1">
      <w:pPr>
        <w:ind w:firstLine="720"/>
        <w:jc w:val="both"/>
        <w:rPr>
          <w:b/>
        </w:rPr>
      </w:pPr>
      <w:r w:rsidRPr="00570048">
        <w:rPr>
          <w:b/>
        </w:rPr>
        <w:t>Інд. працездатності схем обліку 000004-01РЭ (1,4 кВт)</w:t>
      </w:r>
      <w:r>
        <w:rPr>
          <w:b/>
        </w:rPr>
        <w:t xml:space="preserve"> або еквівалент</w:t>
      </w:r>
      <w:bookmarkStart w:id="4" w:name="_GoBack"/>
      <w:bookmarkEnd w:id="4"/>
    </w:p>
    <w:p w:rsidR="005017C1" w:rsidRPr="00B747EF" w:rsidRDefault="005017C1" w:rsidP="005017C1">
      <w:pPr>
        <w:ind w:firstLine="720"/>
        <w:jc w:val="both"/>
      </w:pPr>
      <w:r>
        <w:rPr>
          <w:b/>
        </w:rPr>
        <w:t>2</w:t>
      </w:r>
      <w:r w:rsidRPr="00B747EF">
        <w:rPr>
          <w:b/>
        </w:rPr>
        <w:t>.</w:t>
      </w:r>
      <w:r w:rsidRPr="00B747EF">
        <w:t xml:space="preserve"> Прилад індикатор працездатності схем обліку (</w:t>
      </w:r>
      <w:r>
        <w:t>номінальна потужність 1,4 кВт, максимальна потужність 1,6 кВт)</w:t>
      </w:r>
      <w:r w:rsidRPr="00B747EF">
        <w:t xml:space="preserve"> призначений для перевірки працездатності схем обліку електричної енергії напругою до 0,4 кВ. </w:t>
      </w:r>
    </w:p>
    <w:p w:rsidR="005017C1" w:rsidRDefault="005017C1" w:rsidP="005017C1">
      <w:pPr>
        <w:ind w:firstLine="720"/>
        <w:jc w:val="both"/>
        <w:rPr>
          <w:b/>
        </w:rPr>
      </w:pPr>
      <w:r w:rsidRPr="008471E8">
        <w:rPr>
          <w:b/>
          <w:u w:val="single"/>
        </w:rPr>
        <w:t>Характеристики</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026"/>
        <w:gridCol w:w="3360"/>
      </w:tblGrid>
      <w:tr w:rsidR="005017C1" w:rsidRPr="00157A99" w:rsidTr="00F476EA">
        <w:tc>
          <w:tcPr>
            <w:tcW w:w="560" w:type="dxa"/>
            <w:shd w:val="clear" w:color="auto" w:fill="BFBFBF"/>
          </w:tcPr>
          <w:p w:rsidR="005017C1" w:rsidRPr="00157A99" w:rsidRDefault="005017C1" w:rsidP="00F476EA">
            <w:pPr>
              <w:jc w:val="center"/>
              <w:rPr>
                <w:b/>
              </w:rPr>
            </w:pPr>
            <w:r w:rsidRPr="00157A99">
              <w:rPr>
                <w:b/>
              </w:rPr>
              <w:t>№</w:t>
            </w:r>
          </w:p>
          <w:p w:rsidR="005017C1" w:rsidRPr="00157A99" w:rsidRDefault="005017C1" w:rsidP="00F476EA">
            <w:pPr>
              <w:jc w:val="center"/>
              <w:rPr>
                <w:b/>
              </w:rPr>
            </w:pPr>
            <w:r w:rsidRPr="00157A99">
              <w:rPr>
                <w:b/>
              </w:rPr>
              <w:t>п/п</w:t>
            </w:r>
          </w:p>
        </w:tc>
        <w:tc>
          <w:tcPr>
            <w:tcW w:w="6069" w:type="dxa"/>
            <w:shd w:val="clear" w:color="auto" w:fill="BFBFBF"/>
          </w:tcPr>
          <w:p w:rsidR="005017C1" w:rsidRPr="00157A99" w:rsidRDefault="005017C1" w:rsidP="00F476EA">
            <w:pPr>
              <w:jc w:val="center"/>
              <w:rPr>
                <w:b/>
              </w:rPr>
            </w:pPr>
            <w:r w:rsidRPr="00157A99">
              <w:rPr>
                <w:b/>
              </w:rPr>
              <w:t>Назва параметру</w:t>
            </w:r>
          </w:p>
        </w:tc>
        <w:tc>
          <w:tcPr>
            <w:tcW w:w="3379" w:type="dxa"/>
            <w:shd w:val="clear" w:color="auto" w:fill="BFBFBF"/>
          </w:tcPr>
          <w:p w:rsidR="005017C1" w:rsidRPr="00157A99" w:rsidRDefault="005017C1" w:rsidP="00F476EA">
            <w:pPr>
              <w:jc w:val="center"/>
              <w:rPr>
                <w:b/>
              </w:rPr>
            </w:pPr>
            <w:r w:rsidRPr="00157A99">
              <w:rPr>
                <w:b/>
              </w:rPr>
              <w:t>Величина параметру</w:t>
            </w:r>
          </w:p>
        </w:tc>
      </w:tr>
      <w:tr w:rsidR="005017C1" w:rsidRPr="00157A99" w:rsidTr="00F476EA">
        <w:trPr>
          <w:trHeight w:val="250"/>
        </w:trPr>
        <w:tc>
          <w:tcPr>
            <w:tcW w:w="560" w:type="dxa"/>
            <w:shd w:val="clear" w:color="auto" w:fill="auto"/>
          </w:tcPr>
          <w:p w:rsidR="005017C1" w:rsidRPr="00157A99" w:rsidRDefault="005017C1" w:rsidP="00F476EA">
            <w:pPr>
              <w:jc w:val="center"/>
              <w:rPr>
                <w:b/>
              </w:rPr>
            </w:pPr>
            <w:r w:rsidRPr="00157A99">
              <w:rPr>
                <w:b/>
              </w:rPr>
              <w:t>1</w:t>
            </w:r>
          </w:p>
        </w:tc>
        <w:tc>
          <w:tcPr>
            <w:tcW w:w="6069" w:type="dxa"/>
            <w:shd w:val="clear" w:color="auto" w:fill="auto"/>
          </w:tcPr>
          <w:p w:rsidR="005017C1" w:rsidRPr="00E660A8" w:rsidRDefault="005017C1" w:rsidP="00F476EA">
            <w:pPr>
              <w:jc w:val="both"/>
            </w:pPr>
            <w:r w:rsidRPr="00E660A8">
              <w:t>Маса індикатора з сумкою ( кг) , не більше</w:t>
            </w:r>
          </w:p>
        </w:tc>
        <w:tc>
          <w:tcPr>
            <w:tcW w:w="3379" w:type="dxa"/>
            <w:shd w:val="clear" w:color="auto" w:fill="auto"/>
          </w:tcPr>
          <w:p w:rsidR="005017C1" w:rsidRPr="00E660A8" w:rsidRDefault="005017C1" w:rsidP="00F476EA">
            <w:pPr>
              <w:jc w:val="center"/>
            </w:pPr>
            <w:r w:rsidRPr="00E660A8">
              <w:t>3</w:t>
            </w:r>
          </w:p>
        </w:tc>
      </w:tr>
      <w:tr w:rsidR="005017C1" w:rsidRPr="00157A99" w:rsidTr="00F476EA">
        <w:tc>
          <w:tcPr>
            <w:tcW w:w="560" w:type="dxa"/>
            <w:shd w:val="clear" w:color="auto" w:fill="auto"/>
          </w:tcPr>
          <w:p w:rsidR="005017C1" w:rsidRPr="00157A99" w:rsidRDefault="005017C1" w:rsidP="00F476EA">
            <w:pPr>
              <w:jc w:val="center"/>
              <w:rPr>
                <w:b/>
              </w:rPr>
            </w:pPr>
            <w:r w:rsidRPr="00157A99">
              <w:rPr>
                <w:b/>
              </w:rPr>
              <w:t>2</w:t>
            </w:r>
          </w:p>
        </w:tc>
        <w:tc>
          <w:tcPr>
            <w:tcW w:w="6069" w:type="dxa"/>
            <w:shd w:val="clear" w:color="auto" w:fill="auto"/>
          </w:tcPr>
          <w:p w:rsidR="005017C1" w:rsidRPr="00E660A8" w:rsidRDefault="005017C1" w:rsidP="00F476EA">
            <w:pPr>
              <w:jc w:val="both"/>
            </w:pPr>
            <w:r w:rsidRPr="00E660A8">
              <w:t>Потужність споживання (кВт) не більше</w:t>
            </w:r>
          </w:p>
        </w:tc>
        <w:tc>
          <w:tcPr>
            <w:tcW w:w="3379" w:type="dxa"/>
            <w:shd w:val="clear" w:color="auto" w:fill="auto"/>
          </w:tcPr>
          <w:p w:rsidR="005017C1" w:rsidRPr="00B06188" w:rsidRDefault="005017C1" w:rsidP="00F476EA">
            <w:pPr>
              <w:jc w:val="center"/>
            </w:pPr>
            <w:r>
              <w:rPr>
                <w:lang w:val="en-US"/>
              </w:rPr>
              <w:t>1</w:t>
            </w:r>
            <w:r>
              <w:t>,6</w:t>
            </w:r>
          </w:p>
        </w:tc>
      </w:tr>
      <w:tr w:rsidR="005017C1" w:rsidRPr="00157A99" w:rsidTr="00F476EA">
        <w:tc>
          <w:tcPr>
            <w:tcW w:w="560" w:type="dxa"/>
            <w:shd w:val="clear" w:color="auto" w:fill="auto"/>
          </w:tcPr>
          <w:p w:rsidR="005017C1" w:rsidRPr="00157A99" w:rsidRDefault="005017C1" w:rsidP="00F476EA">
            <w:pPr>
              <w:jc w:val="center"/>
              <w:rPr>
                <w:b/>
              </w:rPr>
            </w:pPr>
            <w:r w:rsidRPr="00157A99">
              <w:rPr>
                <w:b/>
              </w:rPr>
              <w:t>3</w:t>
            </w:r>
          </w:p>
        </w:tc>
        <w:tc>
          <w:tcPr>
            <w:tcW w:w="6069" w:type="dxa"/>
            <w:shd w:val="clear" w:color="auto" w:fill="auto"/>
          </w:tcPr>
          <w:p w:rsidR="005017C1" w:rsidRPr="00E660A8" w:rsidRDefault="005017C1" w:rsidP="00F476EA">
            <w:pPr>
              <w:jc w:val="both"/>
            </w:pPr>
            <w:r>
              <w:t>Робоча напруга частоти 50 Гц,(В)</w:t>
            </w:r>
          </w:p>
        </w:tc>
        <w:tc>
          <w:tcPr>
            <w:tcW w:w="3379" w:type="dxa"/>
            <w:shd w:val="clear" w:color="auto" w:fill="auto"/>
          </w:tcPr>
          <w:p w:rsidR="005017C1" w:rsidRPr="00E660A8" w:rsidRDefault="005017C1" w:rsidP="00F476EA">
            <w:pPr>
              <w:jc w:val="center"/>
            </w:pPr>
            <w:r>
              <w:t>220±20</w:t>
            </w:r>
          </w:p>
        </w:tc>
      </w:tr>
      <w:tr w:rsidR="005017C1" w:rsidRPr="00157A99" w:rsidTr="00F476EA">
        <w:tc>
          <w:tcPr>
            <w:tcW w:w="560" w:type="dxa"/>
            <w:shd w:val="clear" w:color="auto" w:fill="auto"/>
          </w:tcPr>
          <w:p w:rsidR="005017C1" w:rsidRPr="00157A99" w:rsidRDefault="005017C1" w:rsidP="00F476EA">
            <w:pPr>
              <w:jc w:val="center"/>
              <w:rPr>
                <w:b/>
              </w:rPr>
            </w:pPr>
            <w:r w:rsidRPr="00157A99">
              <w:rPr>
                <w:b/>
              </w:rPr>
              <w:t>4</w:t>
            </w:r>
          </w:p>
        </w:tc>
        <w:tc>
          <w:tcPr>
            <w:tcW w:w="6069" w:type="dxa"/>
            <w:shd w:val="clear" w:color="auto" w:fill="auto"/>
          </w:tcPr>
          <w:p w:rsidR="005017C1" w:rsidRPr="00E660A8" w:rsidRDefault="005017C1" w:rsidP="00F476EA">
            <w:pPr>
              <w:jc w:val="both"/>
            </w:pPr>
            <w:r>
              <w:t>Максимальний струм  в ланцюгу навантаження</w:t>
            </w:r>
          </w:p>
        </w:tc>
        <w:tc>
          <w:tcPr>
            <w:tcW w:w="3379" w:type="dxa"/>
            <w:shd w:val="clear" w:color="auto" w:fill="auto"/>
          </w:tcPr>
          <w:p w:rsidR="005017C1" w:rsidRPr="00E660A8" w:rsidRDefault="005017C1" w:rsidP="00F476EA">
            <w:pPr>
              <w:jc w:val="center"/>
            </w:pPr>
            <w:r>
              <w:t>10</w:t>
            </w:r>
          </w:p>
        </w:tc>
      </w:tr>
      <w:tr w:rsidR="005017C1" w:rsidRPr="00157A99" w:rsidTr="00F476EA">
        <w:tc>
          <w:tcPr>
            <w:tcW w:w="560" w:type="dxa"/>
            <w:shd w:val="clear" w:color="auto" w:fill="auto"/>
          </w:tcPr>
          <w:p w:rsidR="005017C1" w:rsidRPr="00157A99" w:rsidRDefault="005017C1" w:rsidP="00F476EA">
            <w:pPr>
              <w:jc w:val="center"/>
              <w:rPr>
                <w:b/>
              </w:rPr>
            </w:pPr>
            <w:r w:rsidRPr="00157A99">
              <w:rPr>
                <w:b/>
              </w:rPr>
              <w:t>5</w:t>
            </w:r>
          </w:p>
        </w:tc>
        <w:tc>
          <w:tcPr>
            <w:tcW w:w="6069" w:type="dxa"/>
            <w:shd w:val="clear" w:color="auto" w:fill="auto"/>
          </w:tcPr>
          <w:p w:rsidR="005017C1" w:rsidRPr="00B06188" w:rsidRDefault="005017C1" w:rsidP="00F476EA">
            <w:pPr>
              <w:jc w:val="both"/>
            </w:pPr>
            <w:r w:rsidRPr="00B06188">
              <w:rPr>
                <w:rFonts w:ascii="Arial" w:hAnsi="Arial" w:cs="Arial"/>
                <w:sz w:val="22"/>
                <w:szCs w:val="22"/>
              </w:rPr>
              <w:t>Габаритні розміри (в сумці)</w:t>
            </w:r>
            <w:r w:rsidRPr="00B06188">
              <w:t xml:space="preserve"> (мм), не більше (ДхШхВ)</w:t>
            </w:r>
          </w:p>
        </w:tc>
        <w:tc>
          <w:tcPr>
            <w:tcW w:w="3379" w:type="dxa"/>
            <w:shd w:val="clear" w:color="auto" w:fill="auto"/>
          </w:tcPr>
          <w:p w:rsidR="005017C1" w:rsidRPr="00B06188" w:rsidRDefault="005017C1" w:rsidP="00F476EA">
            <w:pPr>
              <w:jc w:val="center"/>
              <w:rPr>
                <w:lang w:val="en-US"/>
              </w:rPr>
            </w:pPr>
            <w:r w:rsidRPr="00B06188">
              <w:rPr>
                <w:lang w:val="en-US"/>
              </w:rPr>
              <w:t>350</w:t>
            </w:r>
            <w:r w:rsidRPr="00B06188">
              <w:t>/</w:t>
            </w:r>
            <w:r w:rsidRPr="00B06188">
              <w:rPr>
                <w:lang w:val="en-US"/>
              </w:rPr>
              <w:t>20</w:t>
            </w:r>
            <w:r w:rsidRPr="00B06188">
              <w:t>0/</w:t>
            </w:r>
            <w:r w:rsidRPr="00B06188">
              <w:rPr>
                <w:lang w:val="en-US"/>
              </w:rPr>
              <w:t>270</w:t>
            </w:r>
          </w:p>
        </w:tc>
      </w:tr>
      <w:tr w:rsidR="005017C1" w:rsidRPr="00157A99" w:rsidTr="00F476EA">
        <w:tc>
          <w:tcPr>
            <w:tcW w:w="560" w:type="dxa"/>
            <w:shd w:val="clear" w:color="auto" w:fill="auto"/>
          </w:tcPr>
          <w:p w:rsidR="005017C1" w:rsidRPr="00157A99" w:rsidRDefault="005017C1" w:rsidP="00F476EA">
            <w:pPr>
              <w:jc w:val="center"/>
              <w:rPr>
                <w:b/>
              </w:rPr>
            </w:pPr>
            <w:r w:rsidRPr="00157A99">
              <w:rPr>
                <w:b/>
              </w:rPr>
              <w:t>6</w:t>
            </w:r>
          </w:p>
        </w:tc>
        <w:tc>
          <w:tcPr>
            <w:tcW w:w="6069" w:type="dxa"/>
            <w:shd w:val="clear" w:color="auto" w:fill="auto"/>
          </w:tcPr>
          <w:p w:rsidR="005017C1" w:rsidRPr="00E660A8" w:rsidRDefault="005017C1" w:rsidP="00F476EA">
            <w:pPr>
              <w:jc w:val="both"/>
            </w:pPr>
            <w:r>
              <w:t>Час роботи, (хв), не більше</w:t>
            </w:r>
          </w:p>
        </w:tc>
        <w:tc>
          <w:tcPr>
            <w:tcW w:w="3379" w:type="dxa"/>
            <w:shd w:val="clear" w:color="auto" w:fill="auto"/>
          </w:tcPr>
          <w:p w:rsidR="005017C1" w:rsidRPr="00E660A8" w:rsidRDefault="005017C1" w:rsidP="00F476EA">
            <w:pPr>
              <w:jc w:val="center"/>
            </w:pPr>
            <w:r>
              <w:t>30</w:t>
            </w:r>
          </w:p>
        </w:tc>
      </w:tr>
    </w:tbl>
    <w:p w:rsidR="005017C1" w:rsidRDefault="005017C1" w:rsidP="005017C1">
      <w:pPr>
        <w:ind w:firstLine="708"/>
        <w:jc w:val="both"/>
        <w:rPr>
          <w:b/>
          <w:shd w:val="clear" w:color="auto" w:fill="FFFFFF"/>
        </w:rPr>
      </w:pPr>
    </w:p>
    <w:p w:rsidR="005017C1" w:rsidRPr="0038778A" w:rsidRDefault="005017C1" w:rsidP="005017C1">
      <w:pPr>
        <w:ind w:firstLine="720"/>
        <w:jc w:val="center"/>
        <w:rPr>
          <w:b/>
          <w:sz w:val="20"/>
          <w:szCs w:val="20"/>
        </w:rPr>
      </w:pPr>
    </w:p>
    <w:p w:rsidR="005017C1" w:rsidRDefault="005017C1" w:rsidP="005017C1">
      <w:pPr>
        <w:ind w:firstLine="720"/>
        <w:jc w:val="center"/>
        <w:rPr>
          <w:b/>
          <w:sz w:val="26"/>
          <w:szCs w:val="26"/>
        </w:rPr>
      </w:pPr>
    </w:p>
    <w:p w:rsidR="005017C1" w:rsidRDefault="005017C1" w:rsidP="005017C1">
      <w:pPr>
        <w:ind w:firstLine="720"/>
        <w:jc w:val="center"/>
        <w:rPr>
          <w:b/>
          <w:sz w:val="26"/>
          <w:szCs w:val="26"/>
        </w:rPr>
      </w:pPr>
    </w:p>
    <w:p w:rsidR="00DD03E6" w:rsidRDefault="00DD03E6" w:rsidP="003F5725">
      <w:pPr>
        <w:jc w:val="center"/>
        <w:rPr>
          <w:b/>
          <w:bCs/>
        </w:rPr>
      </w:pPr>
    </w:p>
    <w:sectPr w:rsidR="00DD03E6"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8B" w:rsidRDefault="00366F8B">
      <w:r>
        <w:separator/>
      </w:r>
    </w:p>
  </w:endnote>
  <w:endnote w:type="continuationSeparator" w:id="0">
    <w:p w:rsidR="00366F8B" w:rsidRDefault="0036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32" w:rsidRDefault="003F3832"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3F3832" w:rsidRDefault="003F3832"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32" w:rsidRDefault="003F3832"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017C1">
      <w:rPr>
        <w:rStyle w:val="a9"/>
        <w:noProof/>
      </w:rPr>
      <w:t>49</w:t>
    </w:r>
    <w:r>
      <w:rPr>
        <w:rStyle w:val="a9"/>
      </w:rPr>
      <w:fldChar w:fldCharType="end"/>
    </w:r>
  </w:p>
  <w:p w:rsidR="003F3832" w:rsidRDefault="003F3832" w:rsidP="007A4B6C">
    <w:pPr>
      <w:pStyle w:val="a5"/>
      <w:framePr w:wrap="around" w:vAnchor="text" w:hAnchor="margin" w:xAlign="right" w:y="1"/>
      <w:jc w:val="center"/>
      <w:rPr>
        <w:rStyle w:val="a9"/>
      </w:rPr>
    </w:pPr>
  </w:p>
  <w:p w:rsidR="003F3832" w:rsidRDefault="003F3832" w:rsidP="009B0AC3">
    <w:pPr>
      <w:pStyle w:val="a5"/>
      <w:framePr w:wrap="around" w:vAnchor="text" w:hAnchor="margin" w:y="1"/>
      <w:ind w:right="360"/>
      <w:rPr>
        <w:rStyle w:val="a9"/>
      </w:rPr>
    </w:pPr>
  </w:p>
  <w:p w:rsidR="003F3832" w:rsidRDefault="003F3832"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8B" w:rsidRDefault="00366F8B">
      <w:r>
        <w:separator/>
      </w:r>
    </w:p>
  </w:footnote>
  <w:footnote w:type="continuationSeparator" w:id="0">
    <w:p w:rsidR="00366F8B" w:rsidRDefault="00366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3"/>
        <w:szCs w:val="13"/>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69E27B1"/>
    <w:multiLevelType w:val="multilevel"/>
    <w:tmpl w:val="BFF217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837F20"/>
    <w:multiLevelType w:val="multilevel"/>
    <w:tmpl w:val="8092C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1"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10"/>
  </w:num>
  <w:num w:numId="5">
    <w:abstractNumId w:val="6"/>
  </w:num>
  <w:num w:numId="6">
    <w:abstractNumId w:val="11"/>
  </w:num>
  <w:num w:numId="7">
    <w:abstractNumId w:val="9"/>
  </w:num>
  <w:num w:numId="8">
    <w:abstractNumId w:val="8"/>
  </w:num>
  <w:num w:numId="9">
    <w:abstractNumId w:val="0"/>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01B"/>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01F"/>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397"/>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2EA"/>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0C5"/>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66B"/>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1C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677"/>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8B"/>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832"/>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7C1"/>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6FA"/>
    <w:rsid w:val="00612A51"/>
    <w:rsid w:val="00612D7F"/>
    <w:rsid w:val="00613E07"/>
    <w:rsid w:val="006146CF"/>
    <w:rsid w:val="00614959"/>
    <w:rsid w:val="00614E36"/>
    <w:rsid w:val="00615196"/>
    <w:rsid w:val="00615CD7"/>
    <w:rsid w:val="00615CEF"/>
    <w:rsid w:val="00616076"/>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3ED"/>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35D"/>
    <w:rsid w:val="00750487"/>
    <w:rsid w:val="00750BB3"/>
    <w:rsid w:val="00750CDE"/>
    <w:rsid w:val="00750F49"/>
    <w:rsid w:val="0075112D"/>
    <w:rsid w:val="007511A6"/>
    <w:rsid w:val="00751391"/>
    <w:rsid w:val="00752383"/>
    <w:rsid w:val="0075272F"/>
    <w:rsid w:val="00752930"/>
    <w:rsid w:val="00753452"/>
    <w:rsid w:val="00753658"/>
    <w:rsid w:val="00753A3D"/>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2F6C"/>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2"/>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6C7D"/>
    <w:rsid w:val="007E6F04"/>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3E2"/>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344"/>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D8D"/>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526"/>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578D"/>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6C22"/>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3E6"/>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3773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A78"/>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AA2"/>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5B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67A81A"/>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C1"/>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 w:type="character" w:customStyle="1" w:styleId="value">
    <w:name w:val="value"/>
    <w:basedOn w:val="a0"/>
    <w:rsid w:val="00D9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30177564">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8902161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96964190">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17640380">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783813105">
      <w:bodyDiv w:val="1"/>
      <w:marLeft w:val="0"/>
      <w:marRight w:val="0"/>
      <w:marTop w:val="0"/>
      <w:marBottom w:val="0"/>
      <w:divBdr>
        <w:top w:val="none" w:sz="0" w:space="0" w:color="auto"/>
        <w:left w:val="none" w:sz="0" w:space="0" w:color="auto"/>
        <w:bottom w:val="none" w:sz="0" w:space="0" w:color="auto"/>
        <w:right w:val="none" w:sz="0" w:space="0" w:color="auto"/>
      </w:divBdr>
      <w:divsChild>
        <w:div w:id="1306737973">
          <w:marLeft w:val="0"/>
          <w:marRight w:val="0"/>
          <w:marTop w:val="0"/>
          <w:marBottom w:val="0"/>
          <w:divBdr>
            <w:top w:val="none" w:sz="0" w:space="0" w:color="auto"/>
            <w:left w:val="none" w:sz="0" w:space="0" w:color="auto"/>
            <w:bottom w:val="none" w:sz="0" w:space="0" w:color="auto"/>
            <w:right w:val="none" w:sz="0" w:space="0" w:color="auto"/>
          </w:divBdr>
          <w:divsChild>
            <w:div w:id="709768675">
              <w:marLeft w:val="0"/>
              <w:marRight w:val="0"/>
              <w:marTop w:val="0"/>
              <w:marBottom w:val="0"/>
              <w:divBdr>
                <w:top w:val="none" w:sz="0" w:space="0" w:color="auto"/>
                <w:left w:val="none" w:sz="0" w:space="0" w:color="auto"/>
                <w:bottom w:val="none" w:sz="0" w:space="0" w:color="auto"/>
                <w:right w:val="none" w:sz="0" w:space="0" w:color="auto"/>
              </w:divBdr>
              <w:divsChild>
                <w:div w:id="4646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26855822">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15805541">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F8CBD-ED63-4A4E-866E-F5F967B9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91048</Words>
  <Characters>51898</Characters>
  <Application>Microsoft Office Word</Application>
  <DocSecurity>0</DocSecurity>
  <Lines>432</Lines>
  <Paragraphs>285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2023-03-16T14:38:00Z</dcterms:created>
  <dcterms:modified xsi:type="dcterms:W3CDTF">2023-03-16T14:38:00Z</dcterms:modified>
</cp:coreProperties>
</file>