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06" w:rsidRDefault="00D34006" w:rsidP="00D34006">
      <w:pPr>
        <w:keepNext/>
        <w:keepLines/>
        <w:suppressAutoHyphens/>
        <w:spacing w:after="0" w:line="240" w:lineRule="auto"/>
        <w:jc w:val="center"/>
        <w:rPr>
          <w:b/>
          <w:color w:val="000000"/>
          <w:sz w:val="24"/>
          <w:szCs w:val="24"/>
        </w:rPr>
      </w:pPr>
      <w:r>
        <w:rPr>
          <w:b/>
          <w:sz w:val="24"/>
          <w:szCs w:val="24"/>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D34006" w:rsidRDefault="00D34006" w:rsidP="00D34006">
      <w:pPr>
        <w:keepNext/>
        <w:keepLines/>
        <w:suppressAutoHyphens/>
        <w:spacing w:after="0" w:line="240" w:lineRule="auto"/>
        <w:jc w:val="right"/>
        <w:rPr>
          <w:b/>
          <w:color w:val="000000"/>
          <w:sz w:val="24"/>
          <w:szCs w:val="24"/>
        </w:rPr>
      </w:pPr>
    </w:p>
    <w:p w:rsidR="00D34006" w:rsidRDefault="00D34006" w:rsidP="00D34006">
      <w:pPr>
        <w:keepNext/>
        <w:keepLines/>
        <w:suppressAutoHyphens/>
        <w:spacing w:after="0" w:line="240" w:lineRule="auto"/>
        <w:jc w:val="right"/>
        <w:rPr>
          <w:b/>
          <w:color w:val="000000"/>
          <w:sz w:val="24"/>
          <w:szCs w:val="24"/>
          <w:highlight w:val="white"/>
        </w:rPr>
      </w:pPr>
      <w:r>
        <w:rPr>
          <w:b/>
          <w:color w:val="000000"/>
          <w:sz w:val="24"/>
          <w:szCs w:val="24"/>
          <w:highlight w:val="white"/>
        </w:rPr>
        <w:t> «ЗАТВЕРДЖЕНО»</w:t>
      </w:r>
    </w:p>
    <w:p w:rsidR="00D34006" w:rsidRDefault="00D34006" w:rsidP="00D34006">
      <w:pPr>
        <w:keepNext/>
        <w:keepLines/>
        <w:suppressAutoHyphens/>
        <w:spacing w:after="0" w:line="240" w:lineRule="auto"/>
        <w:jc w:val="right"/>
        <w:rPr>
          <w:b/>
          <w:sz w:val="24"/>
          <w:szCs w:val="24"/>
          <w:highlight w:val="white"/>
        </w:rPr>
      </w:pPr>
      <w:r>
        <w:rPr>
          <w:color w:val="000000"/>
          <w:sz w:val="24"/>
          <w:szCs w:val="24"/>
          <w:highlight w:val="white"/>
        </w:rPr>
        <w:t xml:space="preserve">                                                                    </w:t>
      </w:r>
      <w:r>
        <w:rPr>
          <w:b/>
          <w:color w:val="000000"/>
          <w:sz w:val="24"/>
          <w:szCs w:val="24"/>
          <w:highlight w:val="white"/>
        </w:rPr>
        <w:t>Рішенням</w:t>
      </w:r>
      <w:r>
        <w:rPr>
          <w:color w:val="000000"/>
          <w:sz w:val="24"/>
          <w:szCs w:val="24"/>
          <w:highlight w:val="white"/>
        </w:rPr>
        <w:t xml:space="preserve"> </w:t>
      </w:r>
      <w:r>
        <w:rPr>
          <w:b/>
          <w:color w:val="000000"/>
          <w:sz w:val="24"/>
          <w:szCs w:val="24"/>
          <w:highlight w:val="white"/>
        </w:rPr>
        <w:t>Уповноваженої особи</w:t>
      </w:r>
    </w:p>
    <w:p w:rsidR="00D34006" w:rsidRDefault="00D34006" w:rsidP="00D34006">
      <w:pPr>
        <w:keepNext/>
        <w:keepLines/>
        <w:suppressAutoHyphens/>
        <w:spacing w:after="0" w:line="240" w:lineRule="auto"/>
        <w:jc w:val="right"/>
        <w:rPr>
          <w:rFonts w:eastAsia="Calibri"/>
          <w:color w:val="000000"/>
          <w:sz w:val="24"/>
          <w:szCs w:val="24"/>
        </w:rPr>
      </w:pPr>
      <w:r>
        <w:rPr>
          <w:b/>
          <w:color w:val="FF0000"/>
          <w:sz w:val="24"/>
          <w:szCs w:val="24"/>
          <w:highlight w:val="white"/>
        </w:rPr>
        <w:t xml:space="preserve"> </w:t>
      </w:r>
      <w:r>
        <w:rPr>
          <w:color w:val="000000"/>
          <w:sz w:val="24"/>
          <w:szCs w:val="24"/>
        </w:rPr>
        <w:t>Комунальне некомерційне підприємство</w:t>
      </w:r>
    </w:p>
    <w:p w:rsidR="00D34006" w:rsidRDefault="00D34006" w:rsidP="00D34006">
      <w:pPr>
        <w:keepNext/>
        <w:keepLines/>
        <w:suppressAutoHyphens/>
        <w:spacing w:after="0" w:line="240" w:lineRule="auto"/>
        <w:jc w:val="right"/>
        <w:rPr>
          <w:color w:val="000000"/>
          <w:sz w:val="24"/>
          <w:szCs w:val="24"/>
        </w:rPr>
      </w:pPr>
      <w:r>
        <w:rPr>
          <w:color w:val="000000"/>
          <w:sz w:val="24"/>
          <w:szCs w:val="24"/>
        </w:rPr>
        <w:t xml:space="preserve"> «Старокостянтинівська багатопрофільна лікарня» </w:t>
      </w:r>
    </w:p>
    <w:p w:rsidR="00D34006" w:rsidRDefault="00D34006" w:rsidP="00D34006">
      <w:pPr>
        <w:keepNext/>
        <w:keepLines/>
        <w:suppressAutoHyphens/>
        <w:spacing w:after="0" w:line="240" w:lineRule="auto"/>
        <w:jc w:val="right"/>
        <w:rPr>
          <w:color w:val="000000"/>
          <w:sz w:val="24"/>
          <w:szCs w:val="24"/>
        </w:rPr>
      </w:pPr>
      <w:r>
        <w:rPr>
          <w:color w:val="000000"/>
          <w:sz w:val="24"/>
          <w:szCs w:val="24"/>
        </w:rPr>
        <w:t xml:space="preserve">Старокостянтинівської міської ради </w:t>
      </w:r>
    </w:p>
    <w:p w:rsidR="00D34006" w:rsidRDefault="00D34006" w:rsidP="00D34006">
      <w:pPr>
        <w:keepNext/>
        <w:keepLines/>
        <w:suppressAutoHyphens/>
        <w:spacing w:after="0" w:line="240" w:lineRule="auto"/>
        <w:jc w:val="right"/>
        <w:rPr>
          <w:color w:val="000000"/>
          <w:sz w:val="24"/>
          <w:szCs w:val="24"/>
        </w:rPr>
      </w:pPr>
      <w:r>
        <w:rPr>
          <w:color w:val="000000"/>
          <w:sz w:val="24"/>
          <w:szCs w:val="24"/>
        </w:rPr>
        <w:t xml:space="preserve">Хмельницького району </w:t>
      </w:r>
    </w:p>
    <w:p w:rsidR="00D34006" w:rsidRDefault="00D34006" w:rsidP="00D34006">
      <w:pPr>
        <w:keepNext/>
        <w:keepLines/>
        <w:suppressAutoHyphens/>
        <w:spacing w:after="0" w:line="240" w:lineRule="auto"/>
        <w:jc w:val="right"/>
        <w:rPr>
          <w:b/>
          <w:color w:val="FF0000"/>
          <w:sz w:val="24"/>
          <w:szCs w:val="24"/>
          <w:highlight w:val="yellow"/>
        </w:rPr>
      </w:pPr>
      <w:r>
        <w:rPr>
          <w:color w:val="000000"/>
          <w:sz w:val="24"/>
          <w:szCs w:val="24"/>
        </w:rPr>
        <w:t>Хмельницької області</w:t>
      </w:r>
    </w:p>
    <w:p w:rsidR="00D34006" w:rsidRPr="00BF3BCB" w:rsidRDefault="00D34006" w:rsidP="00D34006">
      <w:pPr>
        <w:keepNext/>
        <w:keepLines/>
        <w:suppressAutoHyphens/>
        <w:spacing w:after="0" w:line="240" w:lineRule="auto"/>
        <w:jc w:val="right"/>
        <w:rPr>
          <w:sz w:val="24"/>
          <w:szCs w:val="24"/>
          <w:lang w:val="ru-RU"/>
        </w:rPr>
      </w:pPr>
    </w:p>
    <w:p w:rsidR="00D34006" w:rsidRPr="00BF3BCB" w:rsidRDefault="00D34006" w:rsidP="00D34006">
      <w:pPr>
        <w:keepNext/>
        <w:keepLines/>
        <w:suppressAutoHyphens/>
        <w:spacing w:after="0" w:line="240" w:lineRule="auto"/>
        <w:jc w:val="right"/>
        <w:rPr>
          <w:sz w:val="24"/>
          <w:szCs w:val="24"/>
          <w:lang w:val="ru-RU"/>
        </w:rPr>
      </w:pPr>
    </w:p>
    <w:p w:rsidR="00D34006" w:rsidRPr="001C1D1A" w:rsidRDefault="001C1D1A" w:rsidP="00D34006">
      <w:pPr>
        <w:keepNext/>
        <w:keepLines/>
        <w:suppressAutoHyphens/>
        <w:spacing w:after="0" w:line="240" w:lineRule="auto"/>
        <w:jc w:val="right"/>
        <w:rPr>
          <w:sz w:val="24"/>
          <w:szCs w:val="24"/>
        </w:rPr>
      </w:pPr>
      <w:r>
        <w:rPr>
          <w:sz w:val="24"/>
          <w:szCs w:val="24"/>
        </w:rPr>
        <w:t>12</w:t>
      </w:r>
      <w:r w:rsidR="00D34006">
        <w:rPr>
          <w:sz w:val="24"/>
          <w:szCs w:val="24"/>
        </w:rPr>
        <w:t>.02.2024р. №</w:t>
      </w:r>
      <w:r>
        <w:rPr>
          <w:sz w:val="24"/>
          <w:szCs w:val="24"/>
        </w:rPr>
        <w:t>63</w:t>
      </w:r>
    </w:p>
    <w:p w:rsidR="00D34006" w:rsidRDefault="00D34006" w:rsidP="00D34006">
      <w:pPr>
        <w:keepNext/>
        <w:keepLines/>
        <w:suppressAutoHyphens/>
        <w:spacing w:after="0" w:line="240" w:lineRule="auto"/>
        <w:rPr>
          <w:b/>
          <w:color w:val="000000"/>
          <w:sz w:val="24"/>
          <w:szCs w:val="24"/>
        </w:rPr>
      </w:pPr>
      <w:r>
        <w:rPr>
          <w:b/>
          <w:color w:val="000000"/>
          <w:sz w:val="24"/>
          <w:szCs w:val="24"/>
        </w:rPr>
        <w:t xml:space="preserve">                                                     </w:t>
      </w:r>
    </w:p>
    <w:p w:rsidR="00D34006" w:rsidRDefault="00D34006" w:rsidP="00D34006">
      <w:pPr>
        <w:keepNext/>
        <w:keepLines/>
        <w:suppressAutoHyphens/>
        <w:spacing w:after="0" w:line="240" w:lineRule="auto"/>
        <w:rPr>
          <w:b/>
          <w:color w:val="000000"/>
          <w:sz w:val="24"/>
          <w:szCs w:val="24"/>
        </w:rPr>
      </w:pPr>
    </w:p>
    <w:p w:rsidR="00D34006" w:rsidRDefault="00D34006" w:rsidP="00D34006">
      <w:pPr>
        <w:keepNext/>
        <w:keepLines/>
        <w:suppressAutoHyphens/>
        <w:spacing w:after="0" w:line="240" w:lineRule="auto"/>
        <w:rPr>
          <w:b/>
          <w:color w:val="000000"/>
          <w:sz w:val="24"/>
          <w:szCs w:val="24"/>
        </w:rPr>
      </w:pPr>
    </w:p>
    <w:p w:rsidR="00D34006" w:rsidRDefault="00D34006" w:rsidP="00D34006">
      <w:pPr>
        <w:keepNext/>
        <w:keepLines/>
        <w:suppressAutoHyphens/>
        <w:spacing w:after="0" w:line="240" w:lineRule="auto"/>
        <w:rPr>
          <w:b/>
          <w:color w:val="000000"/>
          <w:sz w:val="24"/>
          <w:szCs w:val="24"/>
        </w:rPr>
      </w:pPr>
    </w:p>
    <w:p w:rsidR="00D34006" w:rsidRDefault="00D34006" w:rsidP="00D34006">
      <w:pPr>
        <w:keepNext/>
        <w:keepLines/>
        <w:suppressAutoHyphens/>
        <w:spacing w:after="0" w:line="240" w:lineRule="auto"/>
        <w:rPr>
          <w:b/>
          <w:color w:val="000000"/>
          <w:sz w:val="24"/>
          <w:szCs w:val="24"/>
        </w:rPr>
      </w:pPr>
    </w:p>
    <w:p w:rsidR="00D34006" w:rsidRDefault="00D34006" w:rsidP="00D34006">
      <w:pPr>
        <w:keepNext/>
        <w:keepLines/>
        <w:suppressAutoHyphens/>
        <w:spacing w:after="0" w:line="240" w:lineRule="auto"/>
        <w:rPr>
          <w:b/>
          <w:color w:val="000000"/>
          <w:sz w:val="24"/>
          <w:szCs w:val="24"/>
        </w:rPr>
      </w:pPr>
      <w:r>
        <w:rPr>
          <w:b/>
          <w:color w:val="000000"/>
          <w:sz w:val="24"/>
          <w:szCs w:val="24"/>
        </w:rPr>
        <w:t xml:space="preserve">                                                     </w:t>
      </w:r>
    </w:p>
    <w:p w:rsidR="00D34006" w:rsidRDefault="00D34006" w:rsidP="00D34006">
      <w:pPr>
        <w:keepNext/>
        <w:keepLines/>
        <w:suppressAutoHyphens/>
        <w:spacing w:after="0" w:line="240" w:lineRule="auto"/>
        <w:jc w:val="center"/>
        <w:rPr>
          <w:sz w:val="24"/>
          <w:szCs w:val="24"/>
        </w:rPr>
      </w:pPr>
      <w:r>
        <w:rPr>
          <w:b/>
          <w:color w:val="000000"/>
          <w:sz w:val="24"/>
          <w:szCs w:val="24"/>
        </w:rPr>
        <w:t xml:space="preserve">ТЕНДЕРНА </w:t>
      </w:r>
      <w:r>
        <w:rPr>
          <w:b/>
          <w:sz w:val="24"/>
          <w:szCs w:val="24"/>
        </w:rPr>
        <w:t>ДОКУМЕНТАЦІЯ</w:t>
      </w:r>
    </w:p>
    <w:p w:rsidR="00D34006" w:rsidRDefault="00D34006" w:rsidP="00D34006">
      <w:pPr>
        <w:keepNext/>
        <w:keepLines/>
        <w:suppressAutoHyphens/>
        <w:spacing w:after="0" w:line="240" w:lineRule="auto"/>
        <w:jc w:val="center"/>
        <w:rPr>
          <w:sz w:val="24"/>
          <w:szCs w:val="24"/>
        </w:rPr>
      </w:pPr>
      <w:r>
        <w:rPr>
          <w:sz w:val="24"/>
          <w:szCs w:val="24"/>
        </w:rPr>
        <w:t>по процедурі</w:t>
      </w:r>
      <w:r>
        <w:rPr>
          <w:b/>
          <w:sz w:val="24"/>
          <w:szCs w:val="24"/>
        </w:rPr>
        <w:t xml:space="preserve"> ВІДКРИТІ ТОРГИ (з особливостями)</w:t>
      </w:r>
    </w:p>
    <w:p w:rsidR="00D34006" w:rsidRDefault="00D34006" w:rsidP="00D34006">
      <w:pPr>
        <w:keepNext/>
        <w:keepLines/>
        <w:suppressAutoHyphens/>
        <w:spacing w:after="0" w:line="240" w:lineRule="auto"/>
        <w:jc w:val="center"/>
        <w:rPr>
          <w:sz w:val="24"/>
          <w:szCs w:val="24"/>
        </w:rPr>
      </w:pPr>
      <w:r>
        <w:rPr>
          <w:sz w:val="24"/>
          <w:szCs w:val="24"/>
        </w:rPr>
        <w:t>на закупівлю послуг</w:t>
      </w:r>
    </w:p>
    <w:p w:rsidR="00D34006" w:rsidRDefault="00D34006" w:rsidP="00D34006">
      <w:pPr>
        <w:keepNext/>
        <w:keepLines/>
        <w:suppressAutoHyphens/>
        <w:spacing w:after="0" w:line="240" w:lineRule="auto"/>
        <w:jc w:val="center"/>
        <w:rPr>
          <w:color w:val="000000"/>
          <w:sz w:val="24"/>
          <w:szCs w:val="24"/>
        </w:rPr>
      </w:pPr>
    </w:p>
    <w:p w:rsidR="00D34006" w:rsidRDefault="00D34006" w:rsidP="00D34006">
      <w:pPr>
        <w:keepNext/>
        <w:keepLines/>
        <w:suppressAutoHyphens/>
        <w:spacing w:after="0" w:line="240" w:lineRule="auto"/>
        <w:jc w:val="center"/>
        <w:rPr>
          <w:color w:val="000000"/>
          <w:sz w:val="24"/>
          <w:szCs w:val="24"/>
        </w:rPr>
      </w:pPr>
      <w:r>
        <w:rPr>
          <w:color w:val="000000"/>
          <w:sz w:val="24"/>
          <w:szCs w:val="24"/>
        </w:rPr>
        <w:t> </w:t>
      </w:r>
    </w:p>
    <w:p w:rsidR="00D34006" w:rsidRDefault="00D34006" w:rsidP="00D34006">
      <w:pPr>
        <w:keepNext/>
        <w:keepLines/>
        <w:suppressAutoHyphens/>
        <w:spacing w:after="0" w:line="240" w:lineRule="auto"/>
        <w:jc w:val="center"/>
        <w:rPr>
          <w:b/>
          <w:i/>
          <w:sz w:val="24"/>
          <w:szCs w:val="24"/>
        </w:rPr>
      </w:pPr>
      <w:r>
        <w:rPr>
          <w:b/>
          <w:i/>
          <w:sz w:val="24"/>
          <w:szCs w:val="24"/>
        </w:rPr>
        <w:t>ПРЕДМЕТ ЗАКУПІВЛІ</w:t>
      </w:r>
    </w:p>
    <w:p w:rsidR="00D34006" w:rsidRDefault="00D34006" w:rsidP="00D34006">
      <w:pPr>
        <w:keepNext/>
        <w:keepLines/>
        <w:suppressAutoHyphens/>
        <w:spacing w:after="0" w:line="240" w:lineRule="auto"/>
        <w:rPr>
          <w:sz w:val="24"/>
          <w:szCs w:val="24"/>
        </w:rPr>
      </w:pPr>
      <w:r>
        <w:rPr>
          <w:sz w:val="24"/>
          <w:szCs w:val="24"/>
        </w:rPr>
        <w:t> </w:t>
      </w:r>
    </w:p>
    <w:p w:rsidR="00D34006" w:rsidRDefault="00D34006" w:rsidP="003F13B1">
      <w:pPr>
        <w:keepNext/>
        <w:keepLines/>
        <w:suppressAutoHyphens/>
        <w:spacing w:after="0" w:line="240" w:lineRule="auto"/>
        <w:jc w:val="center"/>
        <w:rPr>
          <w:rFonts w:eastAsia="Arial"/>
          <w:b/>
        </w:rPr>
      </w:pPr>
      <w:r>
        <w:rPr>
          <w:rFonts w:eastAsia="Arial"/>
          <w:b/>
        </w:rPr>
        <w:t xml:space="preserve">Код за ДК 021-2015: 50420000-5 - Послуги з ремонту і технічного обслуговування медичного та хірургічного обладнання </w:t>
      </w:r>
    </w:p>
    <w:p w:rsidR="003F13B1" w:rsidRDefault="003F13B1" w:rsidP="003F13B1">
      <w:pPr>
        <w:keepNext/>
        <w:keepLines/>
        <w:suppressAutoHyphens/>
        <w:spacing w:after="0" w:line="240" w:lineRule="auto"/>
        <w:jc w:val="center"/>
        <w:rPr>
          <w:lang w:eastAsia="uk-UA"/>
        </w:rPr>
      </w:pPr>
    </w:p>
    <w:p w:rsidR="003F13B1" w:rsidRDefault="003F13B1" w:rsidP="003F13B1">
      <w:pPr>
        <w:keepNext/>
        <w:keepLines/>
        <w:suppressAutoHyphens/>
        <w:spacing w:after="0" w:line="240" w:lineRule="auto"/>
        <w:jc w:val="center"/>
        <w:rPr>
          <w:lang w:eastAsia="uk-UA"/>
        </w:rPr>
      </w:pPr>
    </w:p>
    <w:p w:rsidR="00F33308" w:rsidRDefault="00F33308" w:rsidP="003F3BB5">
      <w:pPr>
        <w:keepNext/>
        <w:keepLines/>
        <w:suppressAutoHyphens/>
        <w:spacing w:after="0" w:line="240" w:lineRule="auto"/>
        <w:jc w:val="center"/>
        <w:rPr>
          <w:b/>
        </w:rPr>
      </w:pPr>
      <w:r w:rsidRPr="003E4628">
        <w:rPr>
          <w:b/>
        </w:rPr>
        <w:t>Послуги з  сервісного обслуговування</w:t>
      </w:r>
    </w:p>
    <w:p w:rsidR="00F33308" w:rsidRDefault="00F33308" w:rsidP="003F3BB5">
      <w:pPr>
        <w:keepNext/>
        <w:keepLines/>
        <w:suppressAutoHyphens/>
        <w:spacing w:after="0" w:line="240" w:lineRule="auto"/>
        <w:jc w:val="center"/>
        <w:rPr>
          <w:b/>
        </w:rPr>
      </w:pPr>
      <w:r w:rsidRPr="003E4628">
        <w:rPr>
          <w:b/>
        </w:rPr>
        <w:t>аналізатора  електролітів EL-5</w:t>
      </w:r>
    </w:p>
    <w:p w:rsidR="00D34006" w:rsidRPr="00F33308" w:rsidRDefault="00F33308" w:rsidP="003F3BB5">
      <w:pPr>
        <w:keepNext/>
        <w:keepLines/>
        <w:suppressAutoHyphens/>
        <w:spacing w:after="0" w:line="240" w:lineRule="auto"/>
        <w:jc w:val="center"/>
        <w:rPr>
          <w:b/>
        </w:rPr>
      </w:pPr>
      <w:r>
        <w:rPr>
          <w:b/>
        </w:rPr>
        <w:t xml:space="preserve">аналізатора глюкози </w:t>
      </w:r>
      <w:r>
        <w:rPr>
          <w:b/>
          <w:lang w:val="en-US"/>
        </w:rPr>
        <w:t>GL</w:t>
      </w:r>
      <w:r w:rsidRPr="00B22F5D">
        <w:rPr>
          <w:b/>
          <w:lang w:val="ru-RU"/>
        </w:rPr>
        <w:t>-10</w:t>
      </w:r>
    </w:p>
    <w:p w:rsidR="00D34006" w:rsidRDefault="00F33308" w:rsidP="003F3BB5">
      <w:pPr>
        <w:keepNext/>
        <w:keepLines/>
        <w:suppressAutoHyphens/>
        <w:spacing w:after="0" w:line="240" w:lineRule="auto"/>
        <w:jc w:val="center"/>
        <w:rPr>
          <w:b/>
        </w:rPr>
      </w:pPr>
      <w:r>
        <w:rPr>
          <w:b/>
        </w:rPr>
        <w:t xml:space="preserve">аналізатора глюкози АГКМ-01 </w:t>
      </w:r>
      <w:proofErr w:type="spellStart"/>
      <w:r>
        <w:rPr>
          <w:b/>
        </w:rPr>
        <w:t>„Квер</w:t>
      </w:r>
      <w:proofErr w:type="spellEnd"/>
      <w:r>
        <w:rPr>
          <w:b/>
        </w:rPr>
        <w:t>”</w:t>
      </w:r>
    </w:p>
    <w:p w:rsidR="00F33308" w:rsidRDefault="00F33308" w:rsidP="003F3BB5">
      <w:pPr>
        <w:keepNext/>
        <w:keepLines/>
        <w:suppressAutoHyphens/>
        <w:spacing w:after="0" w:line="240" w:lineRule="auto"/>
        <w:jc w:val="center"/>
        <w:rPr>
          <w:sz w:val="24"/>
          <w:szCs w:val="24"/>
        </w:rPr>
      </w:pPr>
      <w:r>
        <w:rPr>
          <w:b/>
        </w:rPr>
        <w:t xml:space="preserve">аналізатора </w:t>
      </w:r>
      <w:r w:rsidRPr="00925765">
        <w:rPr>
          <w:b/>
        </w:rPr>
        <w:t>електролітів</w:t>
      </w:r>
      <w:r>
        <w:rPr>
          <w:b/>
        </w:rPr>
        <w:t xml:space="preserve"> А</w:t>
      </w:r>
      <w:r w:rsidRPr="00925765">
        <w:rPr>
          <w:b/>
        </w:rPr>
        <w:t>ЭК</w:t>
      </w:r>
      <w:r>
        <w:rPr>
          <w:b/>
        </w:rPr>
        <w:t xml:space="preserve">-01 </w:t>
      </w:r>
      <w:proofErr w:type="spellStart"/>
      <w:r>
        <w:rPr>
          <w:b/>
        </w:rPr>
        <w:t>„Квер</w:t>
      </w:r>
      <w:proofErr w:type="spellEnd"/>
      <w:r>
        <w:rPr>
          <w:b/>
        </w:rPr>
        <w:t>”</w:t>
      </w: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Pr="003F13B1"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jc w:val="center"/>
        <w:rPr>
          <w:rFonts w:eastAsia="Calibri"/>
          <w:color w:val="000000"/>
          <w:sz w:val="24"/>
          <w:szCs w:val="24"/>
        </w:rPr>
      </w:pPr>
      <w:bookmarkStart w:id="0" w:name="_heading=h.1fob9te"/>
      <w:bookmarkEnd w:id="0"/>
      <w:r>
        <w:rPr>
          <w:color w:val="000000"/>
          <w:sz w:val="24"/>
          <w:szCs w:val="24"/>
        </w:rPr>
        <w:t>м. Старокостянтинів</w:t>
      </w:r>
    </w:p>
    <w:p w:rsidR="00D34006" w:rsidRDefault="00D34006" w:rsidP="00D34006">
      <w:pPr>
        <w:keepNext/>
        <w:keepLines/>
        <w:suppressAutoHyphens/>
        <w:spacing w:after="0" w:line="240" w:lineRule="auto"/>
        <w:jc w:val="center"/>
        <w:rPr>
          <w:sz w:val="24"/>
          <w:szCs w:val="24"/>
        </w:rPr>
      </w:pPr>
      <w:r>
        <w:rPr>
          <w:i/>
          <w:sz w:val="24"/>
          <w:szCs w:val="24"/>
        </w:rPr>
        <w:t xml:space="preserve"> </w:t>
      </w:r>
      <w:r>
        <w:rPr>
          <w:sz w:val="24"/>
          <w:szCs w:val="24"/>
        </w:rPr>
        <w:t>2024рік</w:t>
      </w:r>
    </w:p>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p w:rsidR="003F13B1" w:rsidRDefault="003F13B1">
      <w:pPr>
        <w:widowControl w:val="0"/>
        <w:pBdr>
          <w:top w:val="nil"/>
          <w:left w:val="nil"/>
          <w:bottom w:val="nil"/>
          <w:right w:val="nil"/>
          <w:between w:val="nil"/>
        </w:pBdr>
        <w:spacing w:after="0"/>
        <w:rPr>
          <w:rFonts w:ascii="Arial" w:eastAsia="Arial" w:hAnsi="Arial" w:cs="Arial"/>
          <w:color w:val="000000"/>
          <w:sz w:val="22"/>
          <w:szCs w:val="22"/>
        </w:rPr>
      </w:pPr>
    </w:p>
    <w:p w:rsidR="00223BA4" w:rsidRDefault="00223BA4">
      <w:pPr>
        <w:spacing w:after="0" w:line="240" w:lineRule="auto"/>
        <w:rPr>
          <w:color w:val="000000"/>
          <w:sz w:val="22"/>
          <w:szCs w:val="22"/>
        </w:rPr>
      </w:pPr>
    </w:p>
    <w:p w:rsidR="00310010" w:rsidRDefault="00310010">
      <w:pPr>
        <w:spacing w:after="0" w:line="240" w:lineRule="auto"/>
        <w:rPr>
          <w:color w:val="000000"/>
          <w:sz w:val="22"/>
          <w:szCs w:val="22"/>
        </w:rPr>
      </w:pPr>
    </w:p>
    <w:p w:rsidR="00310010" w:rsidRDefault="00310010">
      <w:pPr>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lastRenderedPageBreak/>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2E3396">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2E3396">
              <w:rPr>
                <w:color w:val="000000"/>
                <w:sz w:val="24"/>
                <w:szCs w:val="24"/>
              </w:rPr>
              <w:t xml:space="preserve"> зі змінами</w:t>
            </w:r>
            <w:r w:rsidRPr="00115E99">
              <w:rPr>
                <w:color w:val="000000"/>
                <w:sz w:val="24"/>
                <w:szCs w:val="24"/>
              </w:rPr>
              <w:t xml:space="preserve"> (далі – Особливості</w:t>
            </w:r>
            <w:r w:rsidR="002E3396">
              <w:rPr>
                <w:color w:val="000000"/>
                <w:sz w:val="24"/>
                <w:szCs w:val="24"/>
              </w:rPr>
              <w:t>)</w:t>
            </w:r>
            <w:r w:rsidRPr="00115E99">
              <w:rPr>
                <w:color w:val="000000"/>
                <w:sz w:val="24"/>
                <w:szCs w:val="24"/>
              </w:rPr>
              <w:t xml:space="preserve">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460048" w:rsidP="002912B8">
            <w:pPr>
              <w:widowControl w:val="0"/>
              <w:spacing w:after="0" w:line="240" w:lineRule="auto"/>
              <w:rPr>
                <w:color w:val="000000"/>
                <w:sz w:val="24"/>
                <w:szCs w:val="24"/>
              </w:rPr>
            </w:pPr>
            <w:r>
              <w:rPr>
                <w:color w:val="000000"/>
                <w:sz w:val="24"/>
                <w:szCs w:val="24"/>
              </w:rPr>
              <w:t xml:space="preserve">Лавриненко Оксана Петрівна </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sidR="00460048">
              <w:rPr>
                <w:color w:val="000000"/>
                <w:sz w:val="24"/>
                <w:szCs w:val="24"/>
              </w:rPr>
              <w:t>0673342556</w:t>
            </w:r>
          </w:p>
          <w:p w:rsidR="0029318A" w:rsidRPr="00B23FE1" w:rsidRDefault="0029318A" w:rsidP="002912B8">
            <w:pPr>
              <w:widowControl w:val="0"/>
              <w:spacing w:after="0" w:line="240" w:lineRule="auto"/>
              <w:rPr>
                <w:color w:val="000000"/>
                <w:sz w:val="24"/>
                <w:szCs w:val="24"/>
                <w:lang w:val="ru-RU"/>
              </w:rPr>
            </w:pPr>
            <w:r w:rsidRPr="00F756F5">
              <w:rPr>
                <w:color w:val="000000"/>
                <w:sz w:val="24"/>
                <w:szCs w:val="24"/>
              </w:rPr>
              <w:t xml:space="preserve">е-mail: </w:t>
            </w:r>
            <w:r w:rsidR="00460048">
              <w:rPr>
                <w:color w:val="000000"/>
                <w:sz w:val="24"/>
                <w:szCs w:val="24"/>
                <w:lang w:val="en-US"/>
              </w:rPr>
              <w:t>gens</w:t>
            </w:r>
            <w:r w:rsidR="00460048" w:rsidRPr="00460048">
              <w:rPr>
                <w:color w:val="000000"/>
                <w:sz w:val="24"/>
                <w:szCs w:val="24"/>
                <w:lang w:val="ru-RU"/>
              </w:rPr>
              <w:t>018434</w:t>
            </w:r>
            <w:r w:rsidR="00460048" w:rsidRPr="00B23FE1">
              <w:rPr>
                <w:color w:val="000000"/>
                <w:sz w:val="24"/>
                <w:szCs w:val="24"/>
                <w:lang w:val="ru-RU"/>
              </w:rPr>
              <w:t>@</w:t>
            </w:r>
            <w:proofErr w:type="spellStart"/>
            <w:r w:rsidR="00460048">
              <w:rPr>
                <w:color w:val="000000"/>
                <w:sz w:val="24"/>
                <w:szCs w:val="24"/>
                <w:lang w:val="en-US"/>
              </w:rPr>
              <w:t>gmail</w:t>
            </w:r>
            <w:proofErr w:type="spellEnd"/>
            <w:r w:rsidR="00460048" w:rsidRPr="00B23FE1">
              <w:rPr>
                <w:color w:val="000000"/>
                <w:sz w:val="24"/>
                <w:szCs w:val="24"/>
                <w:lang w:val="ru-RU"/>
              </w:rPr>
              <w:t>.</w:t>
            </w:r>
            <w:r w:rsidR="00460048">
              <w:rPr>
                <w:color w:val="000000"/>
                <w:sz w:val="24"/>
                <w:szCs w:val="24"/>
                <w:lang w:val="en-US"/>
              </w:rPr>
              <w:t>com</w:t>
            </w:r>
          </w:p>
          <w:p w:rsidR="0029318A" w:rsidRDefault="0029318A" w:rsidP="002912B8">
            <w:pPr>
              <w:widowControl w:val="0"/>
              <w:spacing w:after="0" w:line="240" w:lineRule="auto"/>
              <w:rPr>
                <w:color w:val="000000"/>
                <w:sz w:val="24"/>
                <w:szCs w:val="24"/>
              </w:rPr>
            </w:pPr>
          </w:p>
        </w:tc>
      </w:tr>
      <w:tr w:rsidR="0029318A">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626E9E">
        <w:trPr>
          <w:trHeight w:val="190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3F13B1" w:rsidRPr="003F13B1" w:rsidRDefault="003F13B1" w:rsidP="003F13B1">
            <w:pPr>
              <w:spacing w:after="0" w:line="240" w:lineRule="auto"/>
              <w:jc w:val="both"/>
              <w:rPr>
                <w:b/>
                <w:sz w:val="24"/>
                <w:szCs w:val="24"/>
                <w:bdr w:val="none" w:sz="0" w:space="0" w:color="auto" w:frame="1"/>
              </w:rPr>
            </w:pPr>
          </w:p>
          <w:p w:rsidR="00310010" w:rsidRPr="00136AEC" w:rsidRDefault="00310010" w:rsidP="00310010">
            <w:pPr>
              <w:spacing w:after="0" w:line="240" w:lineRule="auto"/>
              <w:jc w:val="both"/>
              <w:rPr>
                <w:sz w:val="24"/>
                <w:szCs w:val="24"/>
                <w:bdr w:val="none" w:sz="0" w:space="0" w:color="auto" w:frame="1"/>
              </w:rPr>
            </w:pPr>
            <w:r w:rsidRPr="00136AEC">
              <w:rPr>
                <w:sz w:val="24"/>
                <w:szCs w:val="24"/>
                <w:bdr w:val="none" w:sz="0" w:space="0" w:color="auto" w:frame="1"/>
              </w:rPr>
              <w:t xml:space="preserve">Код за ДК 021-2015: 50420000-5 - Послуги з ремонту і технічного обслуговування медичного та хірургічного обладнання </w:t>
            </w:r>
          </w:p>
          <w:p w:rsidR="00310010" w:rsidRPr="00136AEC" w:rsidRDefault="00310010" w:rsidP="00310010">
            <w:pPr>
              <w:spacing w:after="0" w:line="240" w:lineRule="auto"/>
              <w:jc w:val="both"/>
              <w:rPr>
                <w:sz w:val="24"/>
                <w:szCs w:val="24"/>
                <w:bdr w:val="none" w:sz="0" w:space="0" w:color="auto" w:frame="1"/>
              </w:rPr>
            </w:pPr>
            <w:r w:rsidRPr="00136AEC">
              <w:rPr>
                <w:sz w:val="24"/>
                <w:szCs w:val="24"/>
                <w:bdr w:val="none" w:sz="0" w:space="0" w:color="auto" w:frame="1"/>
              </w:rPr>
              <w:t>Послуги з  сервісного обслуговування</w:t>
            </w:r>
            <w:r w:rsidR="00136AEC">
              <w:rPr>
                <w:sz w:val="24"/>
                <w:szCs w:val="24"/>
                <w:bdr w:val="none" w:sz="0" w:space="0" w:color="auto" w:frame="1"/>
              </w:rPr>
              <w:t xml:space="preserve"> </w:t>
            </w:r>
            <w:r w:rsidRPr="00136AEC">
              <w:rPr>
                <w:sz w:val="24"/>
                <w:szCs w:val="24"/>
                <w:bdr w:val="none" w:sz="0" w:space="0" w:color="auto" w:frame="1"/>
              </w:rPr>
              <w:t>аналізатора  електролітів EL-5</w:t>
            </w:r>
            <w:r w:rsidR="00136AEC">
              <w:rPr>
                <w:sz w:val="24"/>
                <w:szCs w:val="24"/>
                <w:bdr w:val="none" w:sz="0" w:space="0" w:color="auto" w:frame="1"/>
              </w:rPr>
              <w:t xml:space="preserve">, </w:t>
            </w:r>
            <w:r w:rsidRPr="00136AEC">
              <w:rPr>
                <w:sz w:val="24"/>
                <w:szCs w:val="24"/>
                <w:bdr w:val="none" w:sz="0" w:space="0" w:color="auto" w:frame="1"/>
              </w:rPr>
              <w:t>аналізатора глюкози GL-10</w:t>
            </w:r>
            <w:r w:rsidR="00136AEC">
              <w:rPr>
                <w:sz w:val="24"/>
                <w:szCs w:val="24"/>
                <w:bdr w:val="none" w:sz="0" w:space="0" w:color="auto" w:frame="1"/>
              </w:rPr>
              <w:t xml:space="preserve">, </w:t>
            </w:r>
            <w:r w:rsidRPr="00136AEC">
              <w:rPr>
                <w:sz w:val="24"/>
                <w:szCs w:val="24"/>
                <w:bdr w:val="none" w:sz="0" w:space="0" w:color="auto" w:frame="1"/>
              </w:rPr>
              <w:t xml:space="preserve">аналізатора глюкози АГКМ-01 </w:t>
            </w:r>
            <w:proofErr w:type="spellStart"/>
            <w:r w:rsidRPr="00136AEC">
              <w:rPr>
                <w:sz w:val="24"/>
                <w:szCs w:val="24"/>
                <w:bdr w:val="none" w:sz="0" w:space="0" w:color="auto" w:frame="1"/>
              </w:rPr>
              <w:t>„Квер</w:t>
            </w:r>
            <w:proofErr w:type="spellEnd"/>
            <w:r w:rsidRPr="00136AEC">
              <w:rPr>
                <w:sz w:val="24"/>
                <w:szCs w:val="24"/>
                <w:bdr w:val="none" w:sz="0" w:space="0" w:color="auto" w:frame="1"/>
              </w:rPr>
              <w:t>”</w:t>
            </w:r>
            <w:r w:rsidR="00136AEC">
              <w:rPr>
                <w:sz w:val="24"/>
                <w:szCs w:val="24"/>
                <w:bdr w:val="none" w:sz="0" w:space="0" w:color="auto" w:frame="1"/>
              </w:rPr>
              <w:t xml:space="preserve">, </w:t>
            </w:r>
            <w:r w:rsidRPr="00136AEC">
              <w:rPr>
                <w:sz w:val="24"/>
                <w:szCs w:val="24"/>
                <w:bdr w:val="none" w:sz="0" w:space="0" w:color="auto" w:frame="1"/>
              </w:rPr>
              <w:t xml:space="preserve">аналізатора електролітів АЭК-01 </w:t>
            </w:r>
            <w:proofErr w:type="spellStart"/>
            <w:r w:rsidRPr="00136AEC">
              <w:rPr>
                <w:sz w:val="24"/>
                <w:szCs w:val="24"/>
                <w:bdr w:val="none" w:sz="0" w:space="0" w:color="auto" w:frame="1"/>
              </w:rPr>
              <w:t>„Квер</w:t>
            </w:r>
            <w:proofErr w:type="spellEnd"/>
            <w:r w:rsidRPr="00136AEC">
              <w:rPr>
                <w:sz w:val="24"/>
                <w:szCs w:val="24"/>
                <w:bdr w:val="none" w:sz="0" w:space="0" w:color="auto" w:frame="1"/>
              </w:rPr>
              <w:t>”</w:t>
            </w:r>
          </w:p>
          <w:p w:rsidR="0029318A" w:rsidRPr="003F13B1" w:rsidRDefault="0029318A" w:rsidP="003F13B1">
            <w:pPr>
              <w:spacing w:after="0" w:line="240" w:lineRule="auto"/>
              <w:jc w:val="both"/>
              <w:rPr>
                <w:b/>
                <w:sz w:val="24"/>
                <w:szCs w:val="24"/>
                <w:bdr w:val="none" w:sz="0" w:space="0" w:color="auto" w:frame="1"/>
              </w:rPr>
            </w:pP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C84900" w:rsidP="00100423">
            <w:pPr>
              <w:widowControl w:val="0"/>
              <w:spacing w:before="80" w:after="80"/>
              <w:ind w:right="113"/>
              <w:jc w:val="both"/>
              <w:rPr>
                <w:color w:val="000000"/>
                <w:sz w:val="24"/>
                <w:szCs w:val="24"/>
              </w:rPr>
            </w:pPr>
            <w:r>
              <w:rPr>
                <w:color w:val="000000"/>
                <w:sz w:val="24"/>
                <w:szCs w:val="24"/>
              </w:rPr>
              <w:t>Закупівля не ділиться на лоти</w:t>
            </w: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901295" w:rsidP="00EE7A1A">
            <w:pPr>
              <w:widowControl w:val="0"/>
              <w:spacing w:after="0" w:line="240" w:lineRule="auto"/>
              <w:ind w:left="-9" w:right="113"/>
              <w:rPr>
                <w:color w:val="000000"/>
                <w:sz w:val="24"/>
                <w:szCs w:val="24"/>
              </w:rPr>
            </w:pPr>
            <w:r w:rsidRPr="00901295">
              <w:rPr>
                <w:sz w:val="24"/>
                <w:szCs w:val="24"/>
              </w:rPr>
              <w:t>місце, кількість, обсяг поставки товарів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rsidR="00BF6F8D" w:rsidRDefault="00BF6F8D" w:rsidP="00BF6F8D">
            <w:pPr>
              <w:widowControl w:val="0"/>
              <w:spacing w:before="80" w:after="80"/>
              <w:ind w:right="113"/>
              <w:jc w:val="both"/>
              <w:rPr>
                <w:color w:val="000000"/>
                <w:sz w:val="24"/>
                <w:szCs w:val="24"/>
              </w:rPr>
            </w:pPr>
            <w:r>
              <w:rPr>
                <w:color w:val="000000"/>
                <w:sz w:val="24"/>
                <w:szCs w:val="24"/>
              </w:rPr>
              <w:t xml:space="preserve">Місце надання послуг: </w:t>
            </w:r>
            <w:r w:rsidRPr="0029318A">
              <w:rPr>
                <w:color w:val="000000"/>
                <w:sz w:val="24"/>
                <w:szCs w:val="24"/>
              </w:rPr>
              <w:t xml:space="preserve">Хмельницька область, м. Старокостянтинів, вул. </w:t>
            </w:r>
            <w:r>
              <w:rPr>
                <w:color w:val="000000"/>
                <w:sz w:val="24"/>
                <w:szCs w:val="24"/>
              </w:rPr>
              <w:t>Захисників України</w:t>
            </w:r>
            <w:r w:rsidRPr="0029318A">
              <w:rPr>
                <w:color w:val="000000"/>
                <w:sz w:val="24"/>
                <w:szCs w:val="24"/>
              </w:rPr>
              <w:t>, 47</w:t>
            </w:r>
          </w:p>
          <w:p w:rsidR="0029318A" w:rsidRDefault="00BF6F8D" w:rsidP="00BF6F8D">
            <w:pPr>
              <w:widowControl w:val="0"/>
              <w:spacing w:before="80" w:after="80"/>
              <w:ind w:right="113"/>
              <w:rPr>
                <w:color w:val="000000"/>
                <w:sz w:val="24"/>
                <w:szCs w:val="24"/>
              </w:rPr>
            </w:pPr>
            <w:r>
              <w:rPr>
                <w:color w:val="000000"/>
                <w:sz w:val="24"/>
                <w:szCs w:val="24"/>
              </w:rPr>
              <w:t xml:space="preserve">Обсяг послуг: </w:t>
            </w:r>
            <w:r w:rsidRPr="006E3FB5">
              <w:rPr>
                <w:color w:val="000000"/>
                <w:sz w:val="24"/>
                <w:szCs w:val="24"/>
              </w:rPr>
              <w:t>додаток 3 до тендерної документації</w:t>
            </w:r>
          </w:p>
        </w:tc>
      </w:tr>
      <w:tr w:rsidR="0029318A">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901295" w:rsidP="00EE7A1A">
            <w:pPr>
              <w:widowControl w:val="0"/>
              <w:spacing w:after="0" w:line="240" w:lineRule="auto"/>
              <w:ind w:left="-9" w:right="113"/>
              <w:rPr>
                <w:color w:val="000000"/>
                <w:sz w:val="24"/>
                <w:szCs w:val="24"/>
              </w:rPr>
            </w:pPr>
            <w:r w:rsidRPr="00901295">
              <w:rPr>
                <w:sz w:val="24"/>
                <w:szCs w:val="24"/>
              </w:rPr>
              <w:t xml:space="preserve">строк поставки товарів (надання послуг, </w:t>
            </w:r>
            <w:r w:rsidRPr="00901295">
              <w:rPr>
                <w:sz w:val="24"/>
                <w:szCs w:val="24"/>
              </w:rPr>
              <w:lastRenderedPageBreak/>
              <w:t>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901295" w:rsidP="007E6B3C">
            <w:pPr>
              <w:widowControl w:val="0"/>
              <w:spacing w:before="80" w:after="80"/>
              <w:rPr>
                <w:sz w:val="24"/>
                <w:szCs w:val="24"/>
              </w:rPr>
            </w:pPr>
            <w:r>
              <w:rPr>
                <w:sz w:val="24"/>
                <w:szCs w:val="24"/>
              </w:rPr>
              <w:lastRenderedPageBreak/>
              <w:t>до 31.12.202</w:t>
            </w:r>
            <w:r>
              <w:rPr>
                <w:sz w:val="24"/>
                <w:szCs w:val="24"/>
                <w:lang w:val="en-US"/>
              </w:rPr>
              <w:t>4</w:t>
            </w:r>
            <w:r w:rsidR="0029318A">
              <w:rPr>
                <w:sz w:val="24"/>
                <w:szCs w:val="24"/>
              </w:rPr>
              <w:t xml:space="preserve"> р.</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26E9E">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Pr>
                <w:color w:val="000000"/>
                <w:sz w:val="24"/>
                <w:szCs w:val="24"/>
                <w:highlight w:val="white"/>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886F7B">
            <w:pPr>
              <w:widowControl w:val="0"/>
              <w:spacing w:before="80" w:after="80"/>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318A">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w:t>
            </w:r>
            <w:r w:rsidRPr="00115E99">
              <w:rPr>
                <w:color w:val="000000"/>
                <w:sz w:val="24"/>
                <w:szCs w:val="24"/>
              </w:rPr>
              <w:lastRenderedPageBreak/>
              <w:t>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w:t>
            </w:r>
            <w:r w:rsidRPr="00EE7A1A">
              <w:rPr>
                <w:b/>
                <w:sz w:val="24"/>
                <w:szCs w:val="24"/>
              </w:rPr>
              <w:t>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 xml:space="preserve">Інформації щодо підтвердження відсутності підстав для відмови в участі у процедурі закупівлі, визначених </w:t>
            </w:r>
            <w:r w:rsidR="002C2CD9" w:rsidRPr="00EE7A1A">
              <w:rPr>
                <w:b/>
                <w:color w:val="000000"/>
                <w:sz w:val="24"/>
                <w:szCs w:val="24"/>
              </w:rPr>
              <w:t>пунктом 47</w:t>
            </w:r>
            <w:r w:rsidRPr="00EE7A1A">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Інформації та документів на підтвердження відповідності технічним</w:t>
            </w:r>
            <w:r w:rsidR="00901295">
              <w:rPr>
                <w:b/>
                <w:color w:val="000000"/>
                <w:sz w:val="24"/>
                <w:szCs w:val="24"/>
              </w:rPr>
              <w:t>,</w:t>
            </w:r>
            <w:r w:rsidRPr="00EE7A1A">
              <w:rPr>
                <w:b/>
                <w:color w:val="000000"/>
                <w:sz w:val="24"/>
                <w:szCs w:val="24"/>
              </w:rPr>
              <w:t xml:space="preserve"> якісним та кількісним характеристикам предмета закупівлі, у відповідності до вимог, викладених у додатку 3 до тендерної документації</w:t>
            </w:r>
            <w:r w:rsidRPr="00115E99">
              <w:rPr>
                <w:color w:val="000000"/>
                <w:sz w:val="24"/>
                <w:szCs w:val="24"/>
              </w:rPr>
              <w:t>.</w:t>
            </w:r>
            <w:r>
              <w:rPr>
                <w:color w:val="000000"/>
                <w:sz w:val="24"/>
                <w:szCs w:val="24"/>
              </w:rPr>
              <w:t xml:space="preserve">  </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Pr>
                <w:color w:val="000000"/>
                <w:sz w:val="24"/>
                <w:szCs w:val="24"/>
              </w:rPr>
              <w:t>-  </w:t>
            </w:r>
            <w:r w:rsidRPr="00EE7A1A">
              <w:rPr>
                <w:b/>
                <w:color w:val="000000"/>
                <w:sz w:val="24"/>
                <w:szCs w:val="24"/>
              </w:rPr>
              <w:t>Забезпечен</w:t>
            </w:r>
            <w:proofErr w:type="spellEnd"/>
            <w:r w:rsidRPr="00EE7A1A">
              <w:rPr>
                <w:b/>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EE7A1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Документ</w:t>
            </w:r>
            <w:proofErr w:type="spellEnd"/>
            <w:r w:rsidRPr="00EE7A1A">
              <w:rPr>
                <w:b/>
                <w:color w:val="000000"/>
                <w:sz w:val="24"/>
                <w:szCs w:val="24"/>
              </w:rPr>
              <w:t xml:space="preserve">ів на підтвердження повноважень особи на підписання тендерної </w:t>
            </w:r>
            <w:proofErr w:type="spellStart"/>
            <w:r w:rsidRPr="00EE7A1A">
              <w:rPr>
                <w:b/>
                <w:color w:val="000000"/>
                <w:sz w:val="24"/>
                <w:szCs w:val="24"/>
              </w:rPr>
              <w:t>пропозиції</w:t>
            </w:r>
            <w:r w:rsidR="00EE7A1A" w:rsidRPr="00EE7A1A">
              <w:rPr>
                <w:b/>
                <w:color w:val="000000"/>
                <w:sz w:val="24"/>
                <w:szCs w:val="24"/>
              </w:rPr>
              <w:t>Переможець</w:t>
            </w:r>
            <w:proofErr w:type="spellEnd"/>
            <w:r w:rsidR="00EE7A1A" w:rsidRPr="00EE7A1A">
              <w:rPr>
                <w:b/>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7A1A">
              <w:rPr>
                <w:color w:val="000000"/>
                <w:sz w:val="24"/>
                <w:szCs w:val="24"/>
              </w:rPr>
              <w:t>;</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Цінов</w:t>
            </w:r>
            <w:proofErr w:type="spellEnd"/>
            <w:r w:rsidRPr="00EE7A1A">
              <w:rPr>
                <w:b/>
                <w:color w:val="000000"/>
                <w:sz w:val="24"/>
                <w:szCs w:val="24"/>
              </w:rPr>
              <w:t>ої пропозиції відповідно до додатку 6 до тендерної документації;</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Докумен</w:t>
            </w:r>
            <w:proofErr w:type="spellEnd"/>
            <w:r w:rsidRPr="00EE7A1A">
              <w:rPr>
                <w:b/>
                <w:color w:val="000000"/>
                <w:sz w:val="24"/>
                <w:szCs w:val="24"/>
              </w:rPr>
              <w:t xml:space="preserve">ту, що </w:t>
            </w:r>
            <w:proofErr w:type="spellStart"/>
            <w:r w:rsidRPr="00EE7A1A">
              <w:rPr>
                <w:b/>
                <w:color w:val="000000"/>
                <w:sz w:val="24"/>
                <w:szCs w:val="24"/>
              </w:rPr>
              <w:t>пiдтверджує</w:t>
            </w:r>
            <w:proofErr w:type="spellEnd"/>
            <w:r w:rsidRPr="00EE7A1A">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EE7A1A">
              <w:rPr>
                <w:b/>
                <w:color w:val="000000"/>
                <w:sz w:val="24"/>
                <w:szCs w:val="24"/>
              </w:rPr>
              <w:t>закупiвлі</w:t>
            </w:r>
            <w:proofErr w:type="spellEnd"/>
            <w:r w:rsidRPr="00EE7A1A">
              <w:rPr>
                <w:b/>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Інш</w:t>
            </w:r>
            <w:proofErr w:type="spellEnd"/>
            <w:r w:rsidRPr="00EE7A1A">
              <w:rPr>
                <w:b/>
                <w:color w:val="000000"/>
                <w:sz w:val="24"/>
                <w:szCs w:val="24"/>
              </w:rPr>
              <w:t>их документів та інформації, що визначені тендерною документацією та додатками до неї</w:t>
            </w:r>
            <w:r>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EE7A1A">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lastRenderedPageBreak/>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 xml:space="preserve">використання слова або мовного звороту, запозичених з </w:t>
            </w:r>
            <w:r w:rsidRPr="00387471">
              <w:rPr>
                <w:sz w:val="24"/>
                <w:szCs w:val="24"/>
              </w:rPr>
              <w:lastRenderedPageBreak/>
              <w:t>іншої мови;</w:t>
            </w:r>
          </w:p>
          <w:p w:rsidR="0029318A" w:rsidRPr="00387471" w:rsidRDefault="0029318A"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 xml:space="preserve">7. Подання документа (документів) учасником процедури закупівлі у складі тендерної пропозиції, що </w:t>
            </w:r>
            <w:r w:rsidRPr="00387471">
              <w:rPr>
                <w:sz w:val="24"/>
                <w:szCs w:val="24"/>
              </w:rPr>
              <w:lastRenderedPageBreak/>
              <w:t>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xml:space="preserve">- відсутність підпису уповноваженої посадової особи </w:t>
            </w:r>
            <w:r w:rsidRPr="00387471">
              <w:rPr>
                <w:sz w:val="24"/>
                <w:szCs w:val="24"/>
              </w:rPr>
              <w:lastRenderedPageBreak/>
              <w:t>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0" w:name="bookmark=id.3j2qqm3" w:colFirst="0" w:colLast="0"/>
            <w:bookmarkEnd w:id="20"/>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Default="00EE7A1A" w:rsidP="007E6B3C">
            <w:pPr>
              <w:widowControl w:val="0"/>
              <w:spacing w:before="80" w:after="80"/>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29318A">
              <w:rPr>
                <w:color w:val="000000"/>
                <w:sz w:val="24"/>
                <w:szCs w:val="24"/>
              </w:rPr>
              <w:t xml:space="preserve"> </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1728D6" w:rsidRPr="00A60799" w:rsidRDefault="001728D6" w:rsidP="009F4225">
            <w:pPr>
              <w:widowControl w:val="0"/>
              <w:spacing w:after="0"/>
              <w:jc w:val="both"/>
              <w:rPr>
                <w:color w:val="000000"/>
                <w:sz w:val="24"/>
                <w:szCs w:val="24"/>
                <w:lang w:val="ru-RU"/>
              </w:rPr>
            </w:pPr>
            <w:r>
              <w:rPr>
                <w:color w:val="000000"/>
                <w:sz w:val="24"/>
                <w:szCs w:val="24"/>
              </w:rPr>
              <w:t>Кінцевий стро</w:t>
            </w:r>
            <w:r w:rsidR="005676BF">
              <w:rPr>
                <w:color w:val="000000"/>
                <w:sz w:val="24"/>
                <w:szCs w:val="24"/>
              </w:rPr>
              <w:t xml:space="preserve">к подання тендерних пропозицій: </w:t>
            </w:r>
            <w:r w:rsidR="00762021">
              <w:rPr>
                <w:color w:val="000000"/>
                <w:sz w:val="24"/>
                <w:szCs w:val="24"/>
              </w:rPr>
              <w:t>20</w:t>
            </w:r>
            <w:bookmarkStart w:id="40" w:name="_GoBack"/>
            <w:bookmarkEnd w:id="40"/>
            <w:r w:rsidR="001B40BC">
              <w:rPr>
                <w:color w:val="000000"/>
                <w:sz w:val="24"/>
                <w:szCs w:val="24"/>
                <w:lang w:val="ru-RU"/>
              </w:rPr>
              <w:t>.02</w:t>
            </w:r>
            <w:r w:rsidR="007E0F39" w:rsidRPr="006C4B3D">
              <w:rPr>
                <w:color w:val="000000"/>
                <w:sz w:val="24"/>
                <w:szCs w:val="24"/>
                <w:lang w:val="ru-RU"/>
              </w:rPr>
              <w:t>.2024</w:t>
            </w:r>
            <w:r w:rsidR="0021758B" w:rsidRPr="006C4B3D">
              <w:rPr>
                <w:color w:val="000000"/>
                <w:sz w:val="24"/>
                <w:szCs w:val="24"/>
                <w:lang w:val="ru-RU"/>
              </w:rPr>
              <w:t xml:space="preserve"> </w:t>
            </w:r>
            <w:r w:rsidR="007E0F39" w:rsidRPr="006C4B3D">
              <w:rPr>
                <w:color w:val="000000"/>
                <w:sz w:val="24"/>
                <w:szCs w:val="24"/>
                <w:lang w:val="ru-RU"/>
              </w:rPr>
              <w:t>р. 09</w:t>
            </w:r>
            <w:r w:rsidR="0021758B" w:rsidRPr="006C4B3D">
              <w:rPr>
                <w:color w:val="000000"/>
                <w:sz w:val="24"/>
                <w:szCs w:val="24"/>
                <w:lang w:val="ru-RU"/>
              </w:rPr>
              <w:t xml:space="preserve"> год. 00 </w:t>
            </w:r>
            <w:proofErr w:type="spellStart"/>
            <w:r w:rsidR="0021758B" w:rsidRPr="006C4B3D">
              <w:rPr>
                <w:color w:val="000000"/>
                <w:sz w:val="24"/>
                <w:szCs w:val="24"/>
                <w:lang w:val="ru-RU"/>
              </w:rPr>
              <w:t>хв</w:t>
            </w:r>
            <w:proofErr w:type="spellEnd"/>
            <w:r w:rsidR="0021758B" w:rsidRPr="006C4B3D">
              <w:rPr>
                <w:color w:val="000000"/>
                <w:sz w:val="24"/>
                <w:szCs w:val="24"/>
                <w:lang w:val="ru-RU"/>
              </w:rPr>
              <w:t>.</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41" w:name="_heading=h.vx1227" w:colFirst="0" w:colLast="0"/>
            <w:bookmarkEnd w:id="41"/>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 </w:t>
            </w:r>
            <w:r w:rsidRPr="00EE7A1A">
              <w:rPr>
                <w:sz w:val="24"/>
                <w:szCs w:val="24"/>
              </w:rPr>
              <w:t>Замовник</w:t>
            </w:r>
            <w:r w:rsidRPr="00EE7A1A">
              <w:rPr>
                <w:sz w:val="24"/>
                <w:szCs w:val="24"/>
                <w:lang w:val="ru-RU"/>
              </w:rPr>
              <w:t>, орган</w:t>
            </w:r>
            <w:r w:rsidRPr="00EE7A1A">
              <w:rPr>
                <w:sz w:val="24"/>
                <w:szCs w:val="24"/>
              </w:rPr>
              <w:t xml:space="preserve"> оскарження</w:t>
            </w:r>
            <w:r w:rsidRPr="00EE7A1A">
              <w:rPr>
                <w:sz w:val="24"/>
                <w:szCs w:val="24"/>
                <w:lang w:val="ru-RU"/>
              </w:rPr>
              <w:t xml:space="preserve"> та </w:t>
            </w:r>
            <w:proofErr w:type="spellStart"/>
            <w:r w:rsidRPr="00EE7A1A">
              <w:rPr>
                <w:sz w:val="24"/>
                <w:szCs w:val="24"/>
                <w:lang w:val="ru-RU"/>
              </w:rPr>
              <w:t>Держаудитслужба</w:t>
            </w:r>
            <w:proofErr w:type="spellEnd"/>
            <w:r w:rsidRPr="00EE7A1A">
              <w:rPr>
                <w:sz w:val="24"/>
                <w:szCs w:val="24"/>
                <w:lang w:val="ru-RU"/>
              </w:rPr>
              <w:t xml:space="preserve"> </w:t>
            </w:r>
            <w:proofErr w:type="spellStart"/>
            <w:r w:rsidRPr="00EE7A1A">
              <w:rPr>
                <w:sz w:val="24"/>
                <w:szCs w:val="24"/>
                <w:lang w:val="ru-RU"/>
              </w:rPr>
              <w:t>мають</w:t>
            </w:r>
            <w:proofErr w:type="spellEnd"/>
            <w:r w:rsidRPr="00EE7A1A">
              <w:rPr>
                <w:sz w:val="24"/>
                <w:szCs w:val="24"/>
                <w:lang w:val="ru-RU"/>
              </w:rPr>
              <w:t xml:space="preserve"> доступ в </w:t>
            </w:r>
            <w:proofErr w:type="spellStart"/>
            <w:r w:rsidRPr="00EE7A1A">
              <w:rPr>
                <w:sz w:val="24"/>
                <w:szCs w:val="24"/>
                <w:lang w:val="ru-RU"/>
              </w:rPr>
              <w:t>електронній</w:t>
            </w:r>
            <w:proofErr w:type="spellEnd"/>
            <w:r w:rsidRPr="00EE7A1A">
              <w:rPr>
                <w:sz w:val="24"/>
                <w:szCs w:val="24"/>
                <w:lang w:val="ru-RU"/>
              </w:rPr>
              <w:t xml:space="preserve"> </w:t>
            </w:r>
            <w:proofErr w:type="spellStart"/>
            <w:r w:rsidRPr="00EE7A1A">
              <w:rPr>
                <w:sz w:val="24"/>
                <w:szCs w:val="24"/>
                <w:lang w:val="ru-RU"/>
              </w:rPr>
              <w:t>системі</w:t>
            </w:r>
            <w:proofErr w:type="spellEnd"/>
            <w:r w:rsidRPr="00EE7A1A">
              <w:rPr>
                <w:sz w:val="24"/>
                <w:szCs w:val="24"/>
                <w:lang w:val="ru-RU"/>
              </w:rPr>
              <w:t xml:space="preserve"> </w:t>
            </w:r>
            <w:proofErr w:type="spellStart"/>
            <w:r w:rsidRPr="00EE7A1A">
              <w:rPr>
                <w:sz w:val="24"/>
                <w:szCs w:val="24"/>
                <w:lang w:val="ru-RU"/>
              </w:rPr>
              <w:t>закупівель</w:t>
            </w:r>
            <w:proofErr w:type="spellEnd"/>
            <w:r w:rsidRPr="00EE7A1A">
              <w:rPr>
                <w:sz w:val="24"/>
                <w:szCs w:val="24"/>
                <w:lang w:val="ru-RU"/>
              </w:rPr>
              <w:t xml:space="preserve"> до </w:t>
            </w:r>
            <w:proofErr w:type="spellStart"/>
            <w:r w:rsidRPr="00EE7A1A">
              <w:rPr>
                <w:sz w:val="24"/>
                <w:szCs w:val="24"/>
                <w:lang w:val="ru-RU"/>
              </w:rPr>
              <w:t>інформації</w:t>
            </w:r>
            <w:proofErr w:type="spellEnd"/>
            <w:r w:rsidRPr="00EE7A1A">
              <w:rPr>
                <w:sz w:val="24"/>
                <w:szCs w:val="24"/>
                <w:lang w:val="ru-RU"/>
              </w:rPr>
              <w:t xml:space="preserve">, яка </w:t>
            </w:r>
            <w:proofErr w:type="spellStart"/>
            <w:r w:rsidRPr="00EE7A1A">
              <w:rPr>
                <w:sz w:val="24"/>
                <w:szCs w:val="24"/>
                <w:lang w:val="ru-RU"/>
              </w:rPr>
              <w:t>визначена</w:t>
            </w:r>
            <w:proofErr w:type="spellEnd"/>
            <w:r w:rsidRPr="00EE7A1A">
              <w:rPr>
                <w:sz w:val="24"/>
                <w:szCs w:val="24"/>
                <w:lang w:val="ru-RU"/>
              </w:rPr>
              <w:t xml:space="preserve"> </w:t>
            </w:r>
            <w:proofErr w:type="spellStart"/>
            <w:r w:rsidRPr="00EE7A1A">
              <w:rPr>
                <w:sz w:val="24"/>
                <w:szCs w:val="24"/>
                <w:lang w:val="ru-RU"/>
              </w:rPr>
              <w:t>учасником</w:t>
            </w:r>
            <w:proofErr w:type="spellEnd"/>
            <w:r w:rsidRPr="00EE7A1A">
              <w:rPr>
                <w:sz w:val="24"/>
                <w:szCs w:val="24"/>
                <w:lang w:val="ru-RU"/>
              </w:rPr>
              <w:t xml:space="preserve"> </w:t>
            </w:r>
            <w:proofErr w:type="spellStart"/>
            <w:r w:rsidRPr="00EE7A1A">
              <w:rPr>
                <w:sz w:val="24"/>
                <w:szCs w:val="24"/>
                <w:lang w:val="ru-RU"/>
              </w:rPr>
              <w:t>процедури</w:t>
            </w:r>
            <w:proofErr w:type="spellEnd"/>
            <w:r w:rsidRPr="00EE7A1A">
              <w:rPr>
                <w:sz w:val="24"/>
                <w:szCs w:val="24"/>
                <w:lang w:val="ru-RU"/>
              </w:rPr>
              <w:t xml:space="preserve"> </w:t>
            </w:r>
            <w:proofErr w:type="spellStart"/>
            <w:r w:rsidRPr="00EE7A1A">
              <w:rPr>
                <w:sz w:val="24"/>
                <w:szCs w:val="24"/>
                <w:lang w:val="ru-RU"/>
              </w:rPr>
              <w:t>закупівлі</w:t>
            </w:r>
            <w:proofErr w:type="spellEnd"/>
            <w:r w:rsidRPr="00EE7A1A">
              <w:rPr>
                <w:sz w:val="24"/>
                <w:szCs w:val="24"/>
                <w:lang w:val="ru-RU"/>
              </w:rPr>
              <w:t xml:space="preserve"> </w:t>
            </w:r>
            <w:proofErr w:type="spellStart"/>
            <w:r w:rsidRPr="00EE7A1A">
              <w:rPr>
                <w:sz w:val="24"/>
                <w:szCs w:val="24"/>
                <w:lang w:val="ru-RU"/>
              </w:rPr>
              <w:t>конфіденційною</w:t>
            </w:r>
            <w:proofErr w:type="spellEnd"/>
          </w:p>
        </w:tc>
      </w:tr>
      <w:tr w:rsidR="001728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1728D6">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lastRenderedPageBreak/>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lastRenderedPageBreak/>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w:t>
            </w:r>
            <w:r>
              <w:rPr>
                <w:sz w:val="24"/>
                <w:szCs w:val="24"/>
              </w:rPr>
              <w:t>авах); юридичною особою, у</w:t>
            </w:r>
            <w:r w:rsidRPr="00115E99">
              <w:rPr>
                <w:sz w:val="24"/>
                <w:szCs w:val="24"/>
              </w:rPr>
              <w:t>твореною та зареєстрованою відповідно до законодавства Російської Федерації/Республі</w:t>
            </w:r>
            <w:r>
              <w:rPr>
                <w:sz w:val="24"/>
                <w:szCs w:val="24"/>
              </w:rPr>
              <w:t>ки Білорусь; юридичною особою, у</w:t>
            </w:r>
            <w:r w:rsidRPr="00115E99">
              <w:rPr>
                <w:sz w:val="24"/>
                <w:szCs w:val="24"/>
              </w:rPr>
              <w:t xml:space="preserve">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Pr>
                <w:sz w:val="24"/>
                <w:szCs w:val="24"/>
              </w:rPr>
              <w:t>особою, у</w:t>
            </w:r>
            <w:r w:rsidRPr="00115E99">
              <w:rPr>
                <w:sz w:val="24"/>
                <w:szCs w:val="24"/>
              </w:rPr>
              <w:t>твореною та зареєстрованою відповідно до законодавства Російської Федерації/Республіки Білорусь</w:t>
            </w:r>
            <w:r>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5E99">
              <w:rPr>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1728D6" w:rsidRPr="00115E99" w:rsidRDefault="001728D6" w:rsidP="007E6B3C">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115E99">
              <w:rPr>
                <w:color w:val="000000"/>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 xml:space="preserve">3) скорочення обсягу видатків на здійснення закупівлі </w:t>
            </w:r>
            <w:r>
              <w:rPr>
                <w:color w:val="000000"/>
                <w:sz w:val="24"/>
                <w:szCs w:val="24"/>
              </w:rPr>
              <w:lastRenderedPageBreak/>
              <w:t>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2" w:name="bookmark=id.3fwokq0" w:colFirst="0" w:colLast="0"/>
            <w:bookmarkStart w:id="43" w:name="bookmark=id.1v1yuxt" w:colFirst="0" w:colLast="0"/>
            <w:bookmarkEnd w:id="42"/>
            <w:bookmarkEnd w:id="43"/>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4" w:name="bookmark=id.2u6wntf" w:colFirst="0" w:colLast="0"/>
            <w:bookmarkStart w:id="45" w:name="bookmark=id.4f1mdlm" w:colFirst="0" w:colLast="0"/>
            <w:bookmarkEnd w:id="44"/>
            <w:bookmarkEnd w:id="45"/>
            <w:r>
              <w:rPr>
                <w:color w:val="000000"/>
                <w:sz w:val="24"/>
                <w:szCs w:val="24"/>
              </w:rPr>
              <w:t>.</w:t>
            </w:r>
            <w:bookmarkStart w:id="46" w:name="bookmark=id.28h4qwu" w:colFirst="0" w:colLast="0"/>
            <w:bookmarkStart w:id="47" w:name="bookmark=id.19c6y18" w:colFirst="0" w:colLast="0"/>
            <w:bookmarkStart w:id="48" w:name="bookmark=id.3tbugp1" w:colFirst="0" w:colLast="0"/>
            <w:bookmarkStart w:id="49" w:name="bookmark=id.nmf14n" w:colFirst="0" w:colLast="0"/>
            <w:bookmarkEnd w:id="46"/>
            <w:bookmarkEnd w:id="47"/>
            <w:bookmarkEnd w:id="48"/>
            <w:bookmarkEnd w:id="49"/>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Істотні умови, що </w:t>
            </w:r>
            <w:r>
              <w:rPr>
                <w:color w:val="000000"/>
                <w:sz w:val="24"/>
                <w:szCs w:val="24"/>
              </w:rPr>
              <w:lastRenderedPageBreak/>
              <w:t>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lastRenderedPageBreak/>
              <w:t xml:space="preserve">Істотні умови договору про закупівлю, укладеного </w:t>
            </w:r>
            <w:r>
              <w:rPr>
                <w:color w:val="000000"/>
                <w:sz w:val="24"/>
                <w:szCs w:val="24"/>
              </w:rPr>
              <w:lastRenderedPageBreak/>
              <w:t>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Pr>
                <w:color w:val="000000"/>
                <w:sz w:val="24"/>
                <w:szCs w:val="24"/>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CB690A" w:rsidRPr="00CB690A" w:rsidRDefault="00CB690A">
            <w:pPr>
              <w:spacing w:before="120" w:after="60"/>
              <w:ind w:firstLine="284"/>
              <w:jc w:val="both"/>
              <w:rPr>
                <w:color w:val="000000"/>
                <w:sz w:val="24"/>
                <w:szCs w:val="24"/>
              </w:rPr>
            </w:pPr>
            <w:r w:rsidRPr="00CB690A">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B690A">
                <w:rPr>
                  <w:rStyle w:val="a6"/>
                  <w:color w:val="000099"/>
                  <w:sz w:val="24"/>
                  <w:szCs w:val="24"/>
                  <w:shd w:val="clear" w:color="auto" w:fill="FFFFFF"/>
                </w:rPr>
                <w:t>№ 382</w:t>
              </w:r>
            </w:hyperlink>
            <w:r w:rsidRPr="00CB690A">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 xml:space="preserve">або укладення договору про закупівлю, </w:t>
            </w:r>
            <w:proofErr w:type="spellStart"/>
            <w:r w:rsidRPr="004F169C">
              <w:rPr>
                <w:color w:val="000000"/>
                <w:sz w:val="24"/>
                <w:szCs w:val="24"/>
              </w:rPr>
              <w:t>неукладення</w:t>
            </w:r>
            <w:proofErr w:type="spellEnd"/>
            <w:r w:rsidRPr="004F169C">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896290">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7E" w:rsidRDefault="00EA197E">
      <w:pPr>
        <w:spacing w:after="0" w:line="240" w:lineRule="auto"/>
      </w:pPr>
      <w:r>
        <w:separator/>
      </w:r>
    </w:p>
  </w:endnote>
  <w:endnote w:type="continuationSeparator" w:id="0">
    <w:p w:rsidR="00EA197E" w:rsidRDefault="00EA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762021">
      <w:rPr>
        <w:noProof/>
        <w:color w:val="000000"/>
        <w:sz w:val="24"/>
        <w:szCs w:val="24"/>
      </w:rPr>
      <w:t>11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1C1D1A">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7E" w:rsidRDefault="00EA197E">
      <w:pPr>
        <w:spacing w:after="0" w:line="240" w:lineRule="auto"/>
      </w:pPr>
      <w:r>
        <w:separator/>
      </w:r>
    </w:p>
  </w:footnote>
  <w:footnote w:type="continuationSeparator" w:id="0">
    <w:p w:rsidR="00EA197E" w:rsidRDefault="00EA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D66645"/>
    <w:multiLevelType w:val="hybridMultilevel"/>
    <w:tmpl w:val="53AAF0A6"/>
    <w:lvl w:ilvl="0" w:tplc="F79011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64B1"/>
    <w:rsid w:val="000851A9"/>
    <w:rsid w:val="000B5621"/>
    <w:rsid w:val="00100423"/>
    <w:rsid w:val="00103EB5"/>
    <w:rsid w:val="00115E99"/>
    <w:rsid w:val="00136AEC"/>
    <w:rsid w:val="001728D6"/>
    <w:rsid w:val="00194100"/>
    <w:rsid w:val="001B40BC"/>
    <w:rsid w:val="001C1D1A"/>
    <w:rsid w:val="001F1CE1"/>
    <w:rsid w:val="0021758B"/>
    <w:rsid w:val="00223BA4"/>
    <w:rsid w:val="0023181D"/>
    <w:rsid w:val="002374D9"/>
    <w:rsid w:val="002628BD"/>
    <w:rsid w:val="00262B8B"/>
    <w:rsid w:val="00274D79"/>
    <w:rsid w:val="00277D19"/>
    <w:rsid w:val="002834BF"/>
    <w:rsid w:val="0029318A"/>
    <w:rsid w:val="002A1954"/>
    <w:rsid w:val="002C28B9"/>
    <w:rsid w:val="002C2CD9"/>
    <w:rsid w:val="002C7F83"/>
    <w:rsid w:val="002E3396"/>
    <w:rsid w:val="00305242"/>
    <w:rsid w:val="00310010"/>
    <w:rsid w:val="0032155E"/>
    <w:rsid w:val="00361237"/>
    <w:rsid w:val="003671B4"/>
    <w:rsid w:val="00387471"/>
    <w:rsid w:val="003953C0"/>
    <w:rsid w:val="003B495E"/>
    <w:rsid w:val="003B5073"/>
    <w:rsid w:val="003C1B99"/>
    <w:rsid w:val="003E1474"/>
    <w:rsid w:val="003F0665"/>
    <w:rsid w:val="003F13B1"/>
    <w:rsid w:val="003F3BB5"/>
    <w:rsid w:val="00457429"/>
    <w:rsid w:val="00460048"/>
    <w:rsid w:val="004A6B29"/>
    <w:rsid w:val="004C2959"/>
    <w:rsid w:val="004E41E5"/>
    <w:rsid w:val="004E7873"/>
    <w:rsid w:val="004F169C"/>
    <w:rsid w:val="004F37CB"/>
    <w:rsid w:val="0050658A"/>
    <w:rsid w:val="00533C98"/>
    <w:rsid w:val="0053572B"/>
    <w:rsid w:val="005507E0"/>
    <w:rsid w:val="00557961"/>
    <w:rsid w:val="005676BF"/>
    <w:rsid w:val="00573D0B"/>
    <w:rsid w:val="0059074E"/>
    <w:rsid w:val="005A0DC6"/>
    <w:rsid w:val="005B443B"/>
    <w:rsid w:val="005C3D16"/>
    <w:rsid w:val="005C7BCC"/>
    <w:rsid w:val="005E38D4"/>
    <w:rsid w:val="005F1261"/>
    <w:rsid w:val="00625DA6"/>
    <w:rsid w:val="00626E9E"/>
    <w:rsid w:val="00660AC1"/>
    <w:rsid w:val="00682266"/>
    <w:rsid w:val="006A0CD6"/>
    <w:rsid w:val="006C1C6E"/>
    <w:rsid w:val="006C4B3D"/>
    <w:rsid w:val="00720103"/>
    <w:rsid w:val="00736F0F"/>
    <w:rsid w:val="00747B4F"/>
    <w:rsid w:val="00756917"/>
    <w:rsid w:val="007606E0"/>
    <w:rsid w:val="00762021"/>
    <w:rsid w:val="00777BBE"/>
    <w:rsid w:val="007C3A87"/>
    <w:rsid w:val="007D6141"/>
    <w:rsid w:val="007E0453"/>
    <w:rsid w:val="007E0F39"/>
    <w:rsid w:val="007E4F50"/>
    <w:rsid w:val="007E6B3C"/>
    <w:rsid w:val="008320DD"/>
    <w:rsid w:val="008563C7"/>
    <w:rsid w:val="008632B7"/>
    <w:rsid w:val="00886F7B"/>
    <w:rsid w:val="00896290"/>
    <w:rsid w:val="008B59BD"/>
    <w:rsid w:val="008B6F44"/>
    <w:rsid w:val="008D34BD"/>
    <w:rsid w:val="008D5129"/>
    <w:rsid w:val="008F4972"/>
    <w:rsid w:val="00901295"/>
    <w:rsid w:val="00935726"/>
    <w:rsid w:val="009421AD"/>
    <w:rsid w:val="00946DF7"/>
    <w:rsid w:val="00971C1F"/>
    <w:rsid w:val="009901DE"/>
    <w:rsid w:val="00991BEE"/>
    <w:rsid w:val="009A1CB5"/>
    <w:rsid w:val="009B7FA0"/>
    <w:rsid w:val="009D273B"/>
    <w:rsid w:val="009D357A"/>
    <w:rsid w:val="009D536F"/>
    <w:rsid w:val="009F4225"/>
    <w:rsid w:val="00A334A5"/>
    <w:rsid w:val="00A60799"/>
    <w:rsid w:val="00A60E63"/>
    <w:rsid w:val="00A73076"/>
    <w:rsid w:val="00A76A6D"/>
    <w:rsid w:val="00AA0540"/>
    <w:rsid w:val="00AB7312"/>
    <w:rsid w:val="00AC5CE5"/>
    <w:rsid w:val="00AE25C4"/>
    <w:rsid w:val="00AF31B7"/>
    <w:rsid w:val="00AF3EC2"/>
    <w:rsid w:val="00B22D9B"/>
    <w:rsid w:val="00B23912"/>
    <w:rsid w:val="00B23FE1"/>
    <w:rsid w:val="00B44825"/>
    <w:rsid w:val="00B53349"/>
    <w:rsid w:val="00B5467D"/>
    <w:rsid w:val="00B64662"/>
    <w:rsid w:val="00B73FEC"/>
    <w:rsid w:val="00B76736"/>
    <w:rsid w:val="00BA5F24"/>
    <w:rsid w:val="00BD03DA"/>
    <w:rsid w:val="00BD4473"/>
    <w:rsid w:val="00BF0DFE"/>
    <w:rsid w:val="00BF387F"/>
    <w:rsid w:val="00BF65AE"/>
    <w:rsid w:val="00BF6F8D"/>
    <w:rsid w:val="00C00AC6"/>
    <w:rsid w:val="00C047A1"/>
    <w:rsid w:val="00C15FCC"/>
    <w:rsid w:val="00C16059"/>
    <w:rsid w:val="00C32E83"/>
    <w:rsid w:val="00C3544E"/>
    <w:rsid w:val="00C736C9"/>
    <w:rsid w:val="00C84900"/>
    <w:rsid w:val="00C876DE"/>
    <w:rsid w:val="00C91E91"/>
    <w:rsid w:val="00CB690A"/>
    <w:rsid w:val="00CE1D37"/>
    <w:rsid w:val="00CE2610"/>
    <w:rsid w:val="00CF01F1"/>
    <w:rsid w:val="00CF4154"/>
    <w:rsid w:val="00D34006"/>
    <w:rsid w:val="00D473AD"/>
    <w:rsid w:val="00DE5D2C"/>
    <w:rsid w:val="00E1447F"/>
    <w:rsid w:val="00E55B79"/>
    <w:rsid w:val="00E8608D"/>
    <w:rsid w:val="00EA197E"/>
    <w:rsid w:val="00EA78F6"/>
    <w:rsid w:val="00ED4A6D"/>
    <w:rsid w:val="00ED66A0"/>
    <w:rsid w:val="00EE7A1A"/>
    <w:rsid w:val="00F14E39"/>
    <w:rsid w:val="00F15563"/>
    <w:rsid w:val="00F33308"/>
    <w:rsid w:val="00F5454C"/>
    <w:rsid w:val="00F66171"/>
    <w:rsid w:val="00F82139"/>
    <w:rsid w:val="00FC479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20171189">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367408666">
      <w:bodyDiv w:val="1"/>
      <w:marLeft w:val="0"/>
      <w:marRight w:val="0"/>
      <w:marTop w:val="0"/>
      <w:marBottom w:val="0"/>
      <w:divBdr>
        <w:top w:val="none" w:sz="0" w:space="0" w:color="auto"/>
        <w:left w:val="none" w:sz="0" w:space="0" w:color="auto"/>
        <w:bottom w:val="none" w:sz="0" w:space="0" w:color="auto"/>
        <w:right w:val="none" w:sz="0" w:space="0" w:color="auto"/>
      </w:divBdr>
    </w:div>
    <w:div w:id="1579755261">
      <w:bodyDiv w:val="1"/>
      <w:marLeft w:val="0"/>
      <w:marRight w:val="0"/>
      <w:marTop w:val="0"/>
      <w:marBottom w:val="0"/>
      <w:divBdr>
        <w:top w:val="none" w:sz="0" w:space="0" w:color="auto"/>
        <w:left w:val="none" w:sz="0" w:space="0" w:color="auto"/>
        <w:bottom w:val="none" w:sz="0" w:space="0" w:color="auto"/>
        <w:right w:val="none" w:sz="0" w:space="0" w:color="auto"/>
      </w:divBdr>
    </w:div>
    <w:div w:id="162137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24622</Words>
  <Characters>14036</Characters>
  <Application>Microsoft Office Word</Application>
  <DocSecurity>0</DocSecurity>
  <Lines>116</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38581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6</cp:revision>
  <dcterms:created xsi:type="dcterms:W3CDTF">2024-02-11T15:28:00Z</dcterms:created>
  <dcterms:modified xsi:type="dcterms:W3CDTF">2024-02-12T12:17:00Z</dcterms:modified>
</cp:coreProperties>
</file>