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right"/>
        <w:rPr>
          <w:rFonts w:ascii="Times New Roman" w:hAnsi="Times New Roman" w:eastAsia="Times New Roman" w:cs="Times New Roman"/>
          <w:b/>
          <w:bCs/>
          <w:i/>
          <w:iCs/>
          <w:color w:val="000000"/>
          <w:sz w:val="24"/>
          <w:szCs w:val="24"/>
          <w:shd w:val="clear" w:color="auto" w:fill="FFFFFF"/>
        </w:rPr>
      </w:pPr>
      <w:r>
        <w:rPr>
          <w:rFonts w:ascii="Times New Roman" w:hAnsi="Times New Roman" w:cs="Times New Roman"/>
          <w:b/>
        </w:rPr>
        <w:t xml:space="preserve">  </w:t>
      </w:r>
      <w:r>
        <w:rPr>
          <w:rFonts w:ascii="Times New Roman" w:hAnsi="Times New Roman" w:eastAsia="Times New Roman" w:cs="Times New Roman"/>
          <w:b/>
          <w:bCs/>
          <w:i/>
          <w:iCs/>
          <w:color w:val="000000"/>
          <w:sz w:val="24"/>
          <w:szCs w:val="24"/>
          <w:shd w:val="clear" w:color="auto" w:fill="FFFFFF"/>
        </w:rPr>
        <w:t xml:space="preserve">Додаток 2 </w:t>
      </w:r>
    </w:p>
    <w:p>
      <w:pPr>
        <w:contextualSpacing/>
        <w:jc w:val="right"/>
        <w:rPr>
          <w:rFonts w:ascii="Times New Roman" w:hAnsi="Times New Roman" w:eastAsia="Times New Roman" w:cs="Times New Roman"/>
          <w:b/>
          <w:bCs/>
          <w:i/>
          <w:iCs/>
          <w:color w:val="000000"/>
          <w:sz w:val="24"/>
          <w:szCs w:val="24"/>
          <w:shd w:val="clear" w:color="auto" w:fill="FFFFFF"/>
        </w:rPr>
      </w:pPr>
      <w:r>
        <w:rPr>
          <w:rFonts w:ascii="Times New Roman" w:hAnsi="Times New Roman" w:eastAsia="Times New Roman" w:cs="Times New Roman"/>
          <w:b/>
          <w:bCs/>
          <w:i/>
          <w:iCs/>
          <w:color w:val="000000"/>
          <w:sz w:val="24"/>
          <w:szCs w:val="24"/>
          <w:shd w:val="clear" w:color="auto" w:fill="FFFFFF"/>
        </w:rPr>
        <w:t>до тендерної документації</w:t>
      </w:r>
    </w:p>
    <w:p>
      <w:pPr>
        <w:spacing w:before="240"/>
        <w:contextualSpacing/>
        <w:jc w:val="center"/>
        <w:rPr>
          <w:rFonts w:ascii="Times New Roman" w:hAnsi="Times New Roman" w:eastAsia="Times New Roman" w:cs="Times New Roman"/>
          <w:sz w:val="24"/>
          <w:szCs w:val="24"/>
        </w:rPr>
      </w:pPr>
      <w:r>
        <w:rPr>
          <w:rFonts w:ascii="Times New Roman" w:hAnsi="Times New Roman" w:eastAsia="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ind w:firstLine="709"/>
        <w:rPr>
          <w:rFonts w:ascii="Times New Roman" w:hAnsi="Times New Roman" w:cs="Times New Roman"/>
          <w:b/>
        </w:rPr>
      </w:pPr>
    </w:p>
    <w:p>
      <w:pPr>
        <w:spacing w:after="0" w:line="240" w:lineRule="auto"/>
        <w:ind w:firstLine="709"/>
        <w:jc w:val="center"/>
        <w:rPr>
          <w:rFonts w:ascii="Times New Roman" w:hAnsi="Times New Roman" w:cs="Times New Roman"/>
          <w:b/>
        </w:rPr>
      </w:pPr>
      <w:r>
        <w:rPr>
          <w:rFonts w:ascii="Times New Roman" w:hAnsi="Times New Roman" w:cs="Times New Roman"/>
          <w:b/>
        </w:rPr>
        <w:t>ТЕХНІЧНІ ВИМОГИ</w:t>
      </w:r>
    </w:p>
    <w:p>
      <w:pPr>
        <w:pStyle w:val="5"/>
        <w:shd w:val="clear" w:color="auto" w:fill="auto"/>
        <w:tabs>
          <w:tab w:val="left" w:pos="426"/>
        </w:tabs>
        <w:spacing w:after="0" w:line="240" w:lineRule="auto"/>
        <w:jc w:val="both"/>
        <w:rPr>
          <w:rStyle w:val="6"/>
          <w:rFonts w:eastAsia="Arial Unicode MS"/>
        </w:rPr>
      </w:pPr>
      <w:r>
        <w:rPr>
          <w:rStyle w:val="6"/>
          <w:rFonts w:eastAsia="Arial Unicode MS"/>
          <w:b w:val="0"/>
        </w:rPr>
        <w:t>до предмета закупівлі:</w:t>
      </w:r>
      <w:r>
        <w:rPr>
          <w:rStyle w:val="6"/>
          <w:rFonts w:eastAsia="Arial Unicode MS"/>
        </w:rPr>
        <w:t xml:space="preserve"> </w:t>
      </w:r>
    </w:p>
    <w:p>
      <w:pPr>
        <w:pStyle w:val="5"/>
        <w:shd w:val="clear" w:color="auto" w:fill="auto"/>
        <w:tabs>
          <w:tab w:val="left" w:pos="426"/>
        </w:tabs>
        <w:spacing w:after="0" w:line="240" w:lineRule="auto"/>
        <w:jc w:val="both"/>
        <w:rPr>
          <w:sz w:val="24"/>
          <w:szCs w:val="24"/>
          <w:shd w:val="clear" w:color="auto" w:fill="FDFEFD"/>
          <w:lang w:val="uk-UA"/>
        </w:rPr>
      </w:pPr>
      <w:bookmarkStart w:id="0" w:name="_GoBack"/>
      <w:r>
        <w:rPr>
          <w:bCs w:val="0"/>
          <w:sz w:val="24"/>
          <w:szCs w:val="24"/>
          <w:shd w:val="clear" w:color="auto" w:fill="FFFFFF"/>
          <w:lang w:val="uk-UA"/>
        </w:rPr>
        <w:t>ДК 021:2015</w:t>
      </w:r>
      <w:r>
        <w:rPr>
          <w:bCs w:val="0"/>
          <w:sz w:val="24"/>
          <w:szCs w:val="24"/>
          <w:shd w:val="clear" w:color="auto" w:fill="FFFFFF"/>
        </w:rPr>
        <w:t xml:space="preserve"> – </w:t>
      </w:r>
      <w:r>
        <w:rPr>
          <w:sz w:val="24"/>
          <w:szCs w:val="24"/>
        </w:rPr>
        <w:t xml:space="preserve">85140000-2 - Послуги у сфері охорони здоров’я різні </w:t>
      </w:r>
      <w:r>
        <w:rPr>
          <w:sz w:val="24"/>
          <w:szCs w:val="24"/>
          <w:shd w:val="clear" w:color="auto" w:fill="FDFEFD"/>
        </w:rPr>
        <w:t>(</w:t>
      </w:r>
      <w:r>
        <w:rPr>
          <w:sz w:val="24"/>
          <w:szCs w:val="24"/>
          <w:shd w:val="clear" w:color="auto" w:fill="FDFEFD"/>
          <w:lang w:val="uk-UA"/>
        </w:rPr>
        <w:t>Проведення інструментальних замірів та лабораторних досліджень</w:t>
      </w:r>
      <w:r>
        <w:rPr>
          <w:sz w:val="24"/>
          <w:szCs w:val="24"/>
          <w:shd w:val="clear" w:color="auto" w:fill="FDFEFD"/>
        </w:rPr>
        <w:t>)</w:t>
      </w:r>
    </w:p>
    <w:bookmarkEnd w:id="0"/>
    <w:p>
      <w:pPr>
        <w:numPr>
          <w:ilvl w:val="0"/>
          <w:numId w:val="1"/>
        </w:numPr>
        <w:spacing w:after="0" w:line="240" w:lineRule="auto"/>
        <w:ind w:left="720" w:hanging="360"/>
        <w:rPr>
          <w:rFonts w:ascii="Times New Roman" w:hAnsi="Times New Roman" w:cs="Times New Roman"/>
        </w:rPr>
      </w:pPr>
      <w:r>
        <w:rPr>
          <w:rFonts w:ascii="Times New Roman" w:hAnsi="Times New Roman" w:cs="Times New Roman"/>
          <w:lang w:val="ru-RU"/>
        </w:rPr>
        <w:t>Пер</w:t>
      </w:r>
      <w:r>
        <w:rPr>
          <w:rFonts w:ascii="Times New Roman" w:hAnsi="Times New Roman" w:cs="Times New Roman"/>
        </w:rPr>
        <w:t>елі</w:t>
      </w:r>
      <w:r>
        <w:rPr>
          <w:rFonts w:ascii="Times New Roman" w:hAnsi="Times New Roman" w:cs="Times New Roman"/>
          <w:lang w:val="ru-RU"/>
        </w:rPr>
        <w:t>к товару,  що є предметом закупівлі, та його характеристики:</w:t>
      </w:r>
    </w:p>
    <w:tbl>
      <w:tblPr>
        <w:tblStyle w:val="3"/>
        <w:tblpPr w:leftFromText="180" w:rightFromText="180" w:vertAnchor="page" w:horzAnchor="page" w:tblpX="960" w:tblpY="4338"/>
        <w:tblOverlap w:val="never"/>
        <w:tblW w:w="10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903"/>
        <w:gridCol w:w="3827"/>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67" w:type="dxa"/>
            <w:shd w:val="clear" w:color="auto" w:fill="auto"/>
          </w:tcPr>
          <w:p>
            <w:pPr>
              <w:jc w:val="center"/>
              <w:rPr>
                <w:rFonts w:ascii="Times New Roman" w:hAnsi="Times New Roman" w:cs="Times New Roman"/>
                <w:lang w:val="ru-RU"/>
              </w:rPr>
            </w:pPr>
            <w:r>
              <w:rPr>
                <w:rFonts w:ascii="Times New Roman" w:hAnsi="Times New Roman" w:cs="Times New Roman"/>
                <w:sz w:val="22"/>
                <w:szCs w:val="22"/>
                <w:lang w:val="ru-RU"/>
              </w:rPr>
              <w:t>№</w:t>
            </w:r>
          </w:p>
        </w:tc>
        <w:tc>
          <w:tcPr>
            <w:tcW w:w="4903" w:type="dxa"/>
            <w:shd w:val="clear" w:color="auto" w:fill="auto"/>
            <w:vAlign w:val="center"/>
          </w:tcPr>
          <w:p>
            <w:pPr>
              <w:jc w:val="center"/>
              <w:rPr>
                <w:rFonts w:ascii="Times New Roman" w:hAnsi="Times New Roman" w:cs="Times New Roman"/>
                <w:b/>
                <w:lang w:val="ru-RU"/>
              </w:rPr>
            </w:pPr>
            <w:r>
              <w:rPr>
                <w:rFonts w:ascii="Times New Roman" w:hAnsi="Times New Roman" w:cs="Times New Roman"/>
                <w:b/>
                <w:lang w:val="ru-RU"/>
              </w:rPr>
              <w:t>Технічне завдання (вид досліджень)</w:t>
            </w:r>
          </w:p>
        </w:tc>
        <w:tc>
          <w:tcPr>
            <w:tcW w:w="3827" w:type="dxa"/>
            <w:shd w:val="clear" w:color="auto" w:fill="auto"/>
            <w:vAlign w:val="center"/>
          </w:tcPr>
          <w:p>
            <w:pPr>
              <w:jc w:val="center"/>
              <w:rPr>
                <w:rFonts w:ascii="Times New Roman" w:hAnsi="Times New Roman" w:cs="Times New Roman"/>
                <w:b/>
                <w:lang w:val="ru-RU"/>
              </w:rPr>
            </w:pPr>
            <w:r>
              <w:rPr>
                <w:rFonts w:ascii="Times New Roman" w:hAnsi="Times New Roman" w:cs="Times New Roman"/>
                <w:b/>
                <w:lang w:val="ru-RU"/>
              </w:rPr>
              <w:t>Кількість та періодичність досліджень</w:t>
            </w:r>
          </w:p>
        </w:tc>
        <w:tc>
          <w:tcPr>
            <w:tcW w:w="1264" w:type="dxa"/>
            <w:shd w:val="clear" w:color="auto" w:fill="auto"/>
          </w:tcPr>
          <w:p>
            <w:pPr>
              <w:jc w:val="center"/>
              <w:rPr>
                <w:rFonts w:ascii="Times New Roman" w:hAnsi="Times New Roman" w:cs="Times New Roman"/>
                <w:b/>
                <w:lang w:val="ru-RU"/>
              </w:rPr>
            </w:pPr>
            <w:r>
              <w:rPr>
                <w:rFonts w:ascii="Times New Roman" w:hAnsi="Times New Roman" w:cs="Times New Roman"/>
                <w:b/>
                <w:lang w:val="ru-RU"/>
              </w:rPr>
              <w:t xml:space="preserve">Загальна кількість </w:t>
            </w:r>
          </w:p>
          <w:p>
            <w:pPr>
              <w:jc w:val="center"/>
              <w:rPr>
                <w:rFonts w:ascii="Times New Roman" w:hAnsi="Times New Roman" w:cs="Times New Roman"/>
                <w:b/>
                <w:lang w:val="ru-RU"/>
              </w:rPr>
            </w:pPr>
            <w:r>
              <w:rPr>
                <w:rFonts w:ascii="Times New Roman" w:hAnsi="Times New Roman" w:cs="Times New Roman"/>
                <w:b/>
                <w:lang w:val="ru-RU"/>
              </w:rPr>
              <w:t>дослідж.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67" w:type="dxa"/>
            <w:shd w:val="clear" w:color="auto" w:fill="auto"/>
          </w:tcPr>
          <w:p>
            <w:pPr>
              <w:jc w:val="center"/>
              <w:rPr>
                <w:rFonts w:ascii="Times New Roman" w:hAnsi="Times New Roman" w:cs="Times New Roman"/>
                <w:lang w:val="ru-RU"/>
              </w:rPr>
            </w:pPr>
            <w:r>
              <w:rPr>
                <w:rFonts w:ascii="Times New Roman" w:hAnsi="Times New Roman" w:cs="Times New Roman"/>
                <w:sz w:val="22"/>
                <w:szCs w:val="22"/>
                <w:lang w:val="ru-RU"/>
              </w:rPr>
              <w:t>1</w:t>
            </w:r>
          </w:p>
        </w:tc>
        <w:tc>
          <w:tcPr>
            <w:tcW w:w="4903" w:type="dxa"/>
            <w:shd w:val="clear" w:color="auto" w:fill="auto"/>
          </w:tcPr>
          <w:p>
            <w:pPr>
              <w:jc w:val="both"/>
              <w:rPr>
                <w:rFonts w:ascii="Times New Roman" w:hAnsi="Times New Roman" w:cs="Times New Roman"/>
              </w:rPr>
            </w:pPr>
            <w:r>
              <w:rPr>
                <w:rFonts w:ascii="Times New Roman" w:hAnsi="Times New Roman" w:cs="Times New Roman"/>
              </w:rPr>
              <w:t>Санітарно-хімічні дослідження води</w:t>
            </w:r>
          </w:p>
        </w:tc>
        <w:tc>
          <w:tcPr>
            <w:tcW w:w="3827" w:type="dxa"/>
            <w:shd w:val="clear" w:color="auto" w:fill="auto"/>
          </w:tcPr>
          <w:p>
            <w:pPr>
              <w:jc w:val="both"/>
              <w:rPr>
                <w:rFonts w:ascii="Times New Roman" w:hAnsi="Times New Roman" w:cs="Times New Roman"/>
              </w:rPr>
            </w:pPr>
            <w:r>
              <w:rPr>
                <w:rFonts w:ascii="Times New Roman" w:hAnsi="Times New Roman" w:cs="Times New Roman"/>
              </w:rPr>
              <w:t>12 показників по 1 пробі один раз в рік у 21 школі</w:t>
            </w:r>
          </w:p>
          <w:p>
            <w:pPr>
              <w:jc w:val="both"/>
              <w:rPr>
                <w:rFonts w:ascii="Times New Roman" w:hAnsi="Times New Roman" w:cs="Times New Roman"/>
              </w:rPr>
            </w:pPr>
            <w:r>
              <w:rPr>
                <w:rFonts w:ascii="Times New Roman" w:hAnsi="Times New Roman" w:cs="Times New Roman"/>
              </w:rPr>
              <w:t>12 показників по 1 пробі один раз в рік у 15 ЗДО</w:t>
            </w:r>
          </w:p>
        </w:tc>
        <w:tc>
          <w:tcPr>
            <w:tcW w:w="1264" w:type="dxa"/>
            <w:shd w:val="clear" w:color="auto" w:fill="auto"/>
          </w:tcPr>
          <w:p>
            <w:pPr>
              <w:spacing w:after="240"/>
              <w:jc w:val="center"/>
              <w:rPr>
                <w:rFonts w:ascii="Times New Roman" w:hAnsi="Times New Roman" w:cs="Times New Roman"/>
                <w:b/>
              </w:rPr>
            </w:pPr>
            <w:r>
              <w:rPr>
                <w:rFonts w:ascii="Times New Roman" w:hAnsi="Times New Roman" w:cs="Times New Roman"/>
                <w:b/>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567" w:type="dxa"/>
            <w:shd w:val="clear" w:color="auto" w:fill="auto"/>
          </w:tcPr>
          <w:p>
            <w:pPr>
              <w:jc w:val="center"/>
              <w:rPr>
                <w:rFonts w:ascii="Times New Roman" w:hAnsi="Times New Roman" w:cs="Times New Roman"/>
                <w:lang w:val="ru-RU"/>
              </w:rPr>
            </w:pPr>
            <w:r>
              <w:rPr>
                <w:rFonts w:ascii="Times New Roman" w:hAnsi="Times New Roman" w:cs="Times New Roman"/>
                <w:sz w:val="22"/>
                <w:szCs w:val="22"/>
                <w:lang w:val="ru-RU"/>
              </w:rPr>
              <w:t>2</w:t>
            </w:r>
          </w:p>
        </w:tc>
        <w:tc>
          <w:tcPr>
            <w:tcW w:w="4903" w:type="dxa"/>
            <w:shd w:val="clear" w:color="auto" w:fill="auto"/>
          </w:tcPr>
          <w:p>
            <w:pPr>
              <w:jc w:val="both"/>
              <w:rPr>
                <w:rFonts w:ascii="Times New Roman" w:hAnsi="Times New Roman" w:cs="Times New Roman"/>
              </w:rPr>
            </w:pPr>
            <w:r>
              <w:rPr>
                <w:rFonts w:ascii="Times New Roman" w:hAnsi="Times New Roman" w:cs="Times New Roman"/>
              </w:rPr>
              <w:t>Санітарно-мікробіологічні дослідження води</w:t>
            </w:r>
          </w:p>
        </w:tc>
        <w:tc>
          <w:tcPr>
            <w:tcW w:w="3827" w:type="dxa"/>
            <w:shd w:val="clear" w:color="auto" w:fill="auto"/>
          </w:tcPr>
          <w:p>
            <w:pPr>
              <w:jc w:val="both"/>
              <w:rPr>
                <w:rFonts w:ascii="Times New Roman" w:hAnsi="Times New Roman" w:cs="Times New Roman"/>
              </w:rPr>
            </w:pPr>
            <w:r>
              <w:rPr>
                <w:rFonts w:ascii="Times New Roman" w:hAnsi="Times New Roman" w:cs="Times New Roman"/>
              </w:rPr>
              <w:t>4 показники по 1 пробі один раз в рік у 21 школі</w:t>
            </w:r>
          </w:p>
          <w:p>
            <w:pPr>
              <w:jc w:val="both"/>
              <w:rPr>
                <w:rFonts w:ascii="Times New Roman" w:hAnsi="Times New Roman" w:cs="Times New Roman"/>
              </w:rPr>
            </w:pPr>
            <w:r>
              <w:rPr>
                <w:rFonts w:ascii="Times New Roman" w:hAnsi="Times New Roman" w:cs="Times New Roman"/>
              </w:rPr>
              <w:t>4 показники по 1 пробі один раз в рік у 15 ЗДО</w:t>
            </w:r>
          </w:p>
        </w:tc>
        <w:tc>
          <w:tcPr>
            <w:tcW w:w="1264" w:type="dxa"/>
            <w:shd w:val="clear" w:color="auto" w:fill="auto"/>
          </w:tcPr>
          <w:p>
            <w:pPr>
              <w:spacing w:after="240"/>
              <w:jc w:val="center"/>
              <w:rPr>
                <w:rFonts w:ascii="Times New Roman" w:hAnsi="Times New Roman" w:cs="Times New Roman"/>
                <w:b/>
              </w:rPr>
            </w:pPr>
            <w:r>
              <w:rPr>
                <w:rFonts w:ascii="Times New Roman" w:hAnsi="Times New Roman" w:cs="Times New Roman"/>
                <w:b/>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567" w:type="dxa"/>
          </w:tcPr>
          <w:p>
            <w:pPr>
              <w:jc w:val="both"/>
              <w:rPr>
                <w:rFonts w:ascii="Times New Roman" w:hAnsi="Times New Roman" w:cs="Times New Roman"/>
              </w:rPr>
            </w:pPr>
            <w:r>
              <w:rPr>
                <w:rFonts w:ascii="Times New Roman" w:hAnsi="Times New Roman" w:cs="Times New Roman"/>
              </w:rPr>
              <w:t>3</w:t>
            </w:r>
          </w:p>
        </w:tc>
        <w:tc>
          <w:tcPr>
            <w:tcW w:w="4903" w:type="dxa"/>
            <w:vAlign w:val="center"/>
          </w:tcPr>
          <w:p>
            <w:pPr>
              <w:rPr>
                <w:rFonts w:ascii="Times New Roman" w:hAnsi="Times New Roman" w:cs="Times New Roman"/>
                <w:bCs/>
              </w:rPr>
            </w:pPr>
            <w:r>
              <w:rPr>
                <w:rFonts w:ascii="Times New Roman" w:hAnsi="Times New Roman" w:cs="Times New Roman"/>
                <w:bCs/>
                <w:sz w:val="22"/>
                <w:szCs w:val="22"/>
              </w:rPr>
              <w:t>Лабораторно-інструментальні дослідження  температури  повітря</w:t>
            </w:r>
          </w:p>
          <w:p>
            <w:pPr>
              <w:rPr>
                <w:rFonts w:ascii="Times New Roman" w:hAnsi="Times New Roman" w:cs="Times New Roman"/>
              </w:rPr>
            </w:pPr>
          </w:p>
        </w:tc>
        <w:tc>
          <w:tcPr>
            <w:tcW w:w="3827" w:type="dxa"/>
          </w:tcPr>
          <w:p>
            <w:pPr>
              <w:jc w:val="both"/>
              <w:rPr>
                <w:rFonts w:ascii="Times New Roman" w:hAnsi="Times New Roman" w:cs="Times New Roman"/>
              </w:rPr>
            </w:pPr>
            <w:r>
              <w:rPr>
                <w:rFonts w:ascii="Times New Roman" w:hAnsi="Times New Roman" w:cs="Times New Roman"/>
                <w:sz w:val="22"/>
                <w:szCs w:val="22"/>
              </w:rPr>
              <w:t>По 12 замірів 2 рази на рік у 21 школі; по 12 замірів 2 рази на рік у 15 ЗДО.</w:t>
            </w:r>
          </w:p>
        </w:tc>
        <w:tc>
          <w:tcPr>
            <w:tcW w:w="1264" w:type="dxa"/>
          </w:tcPr>
          <w:p>
            <w:pPr>
              <w:spacing w:after="240"/>
              <w:jc w:val="center"/>
              <w:rPr>
                <w:rFonts w:ascii="Times New Roman" w:hAnsi="Times New Roman" w:cs="Times New Roman"/>
                <w:b/>
              </w:rPr>
            </w:pPr>
            <w:r>
              <w:rPr>
                <w:rFonts w:ascii="Times New Roman" w:hAnsi="Times New Roman" w:cs="Times New Roman"/>
                <w:b/>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r>
              <w:rPr>
                <w:rFonts w:ascii="Times New Roman" w:hAnsi="Times New Roman" w:cs="Times New Roman"/>
              </w:rPr>
              <w:t>4</w:t>
            </w:r>
          </w:p>
        </w:tc>
        <w:tc>
          <w:tcPr>
            <w:tcW w:w="4903" w:type="dxa"/>
          </w:tcPr>
          <w:p>
            <w:pPr>
              <w:rPr>
                <w:rFonts w:ascii="Times New Roman" w:hAnsi="Times New Roman" w:cs="Times New Roman"/>
                <w:bCs/>
              </w:rPr>
            </w:pPr>
            <w:r>
              <w:rPr>
                <w:rFonts w:ascii="Times New Roman" w:hAnsi="Times New Roman" w:cs="Times New Roman"/>
                <w:bCs/>
                <w:sz w:val="22"/>
                <w:szCs w:val="22"/>
              </w:rPr>
              <w:t xml:space="preserve">Лабораторно-інструментальні дослідження  вологості  повітря </w:t>
            </w:r>
          </w:p>
          <w:p>
            <w:pPr>
              <w:rPr>
                <w:rFonts w:ascii="Times New Roman" w:hAnsi="Times New Roman" w:cs="Times New Roman"/>
                <w:bCs/>
              </w:rPr>
            </w:pPr>
          </w:p>
        </w:tc>
        <w:tc>
          <w:tcPr>
            <w:tcW w:w="3827" w:type="dxa"/>
          </w:tcPr>
          <w:p>
            <w:pPr>
              <w:jc w:val="both"/>
              <w:rPr>
                <w:rFonts w:ascii="Times New Roman" w:hAnsi="Times New Roman" w:cs="Times New Roman"/>
              </w:rPr>
            </w:pPr>
            <w:r>
              <w:rPr>
                <w:rFonts w:ascii="Times New Roman" w:hAnsi="Times New Roman" w:cs="Times New Roman"/>
                <w:sz w:val="22"/>
                <w:szCs w:val="22"/>
              </w:rPr>
              <w:t>По 12 замірів 2 рази на рік у 21 школі; по 12 замірів 2 рази на рік у 15 ЗДО.</w:t>
            </w:r>
          </w:p>
        </w:tc>
        <w:tc>
          <w:tcPr>
            <w:tcW w:w="1264" w:type="dxa"/>
          </w:tcPr>
          <w:p>
            <w:pPr>
              <w:spacing w:after="240"/>
              <w:jc w:val="center"/>
              <w:rPr>
                <w:rFonts w:ascii="Times New Roman" w:hAnsi="Times New Roman" w:cs="Times New Roman"/>
                <w:b/>
              </w:rPr>
            </w:pPr>
            <w:r>
              <w:rPr>
                <w:rFonts w:ascii="Times New Roman" w:hAnsi="Times New Roman" w:cs="Times New Roman"/>
                <w:b/>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r>
              <w:rPr>
                <w:rFonts w:ascii="Times New Roman" w:hAnsi="Times New Roman" w:cs="Times New Roman"/>
              </w:rPr>
              <w:t>5</w:t>
            </w:r>
          </w:p>
        </w:tc>
        <w:tc>
          <w:tcPr>
            <w:tcW w:w="4903" w:type="dxa"/>
          </w:tcPr>
          <w:p>
            <w:pPr>
              <w:rPr>
                <w:rFonts w:ascii="Times New Roman" w:hAnsi="Times New Roman" w:cs="Times New Roman"/>
                <w:bCs/>
              </w:rPr>
            </w:pPr>
            <w:r>
              <w:rPr>
                <w:rFonts w:ascii="Times New Roman" w:hAnsi="Times New Roman" w:cs="Times New Roman"/>
                <w:bCs/>
                <w:sz w:val="22"/>
                <w:szCs w:val="22"/>
              </w:rPr>
              <w:t xml:space="preserve">Лабораторно-інструментальні дослідження  рівня освітленості </w:t>
            </w:r>
          </w:p>
          <w:p>
            <w:pPr>
              <w:jc w:val="both"/>
              <w:rPr>
                <w:rFonts w:ascii="Times New Roman" w:hAnsi="Times New Roman" w:cs="Times New Roman"/>
              </w:rPr>
            </w:pPr>
          </w:p>
        </w:tc>
        <w:tc>
          <w:tcPr>
            <w:tcW w:w="3827" w:type="dxa"/>
          </w:tcPr>
          <w:p>
            <w:pPr>
              <w:jc w:val="both"/>
              <w:rPr>
                <w:rFonts w:ascii="Times New Roman" w:hAnsi="Times New Roman" w:cs="Times New Roman"/>
              </w:rPr>
            </w:pPr>
            <w:r>
              <w:rPr>
                <w:rFonts w:ascii="Times New Roman" w:hAnsi="Times New Roman" w:cs="Times New Roman"/>
                <w:sz w:val="22"/>
                <w:szCs w:val="22"/>
              </w:rPr>
              <w:t>По 12 замірів 2 рази на рік у 21 школі; по 9 замірів 1 раз на рік у 15 ЗДО.</w:t>
            </w:r>
          </w:p>
        </w:tc>
        <w:tc>
          <w:tcPr>
            <w:tcW w:w="1264" w:type="dxa"/>
          </w:tcPr>
          <w:p>
            <w:pPr>
              <w:spacing w:after="240"/>
              <w:jc w:val="center"/>
              <w:rPr>
                <w:rFonts w:ascii="Times New Roman" w:hAnsi="Times New Roman" w:cs="Times New Roman"/>
                <w:b/>
              </w:rPr>
            </w:pPr>
            <w:r>
              <w:rPr>
                <w:rFonts w:ascii="Times New Roman" w:hAnsi="Times New Roman" w:cs="Times New Roman"/>
                <w:b/>
              </w:rPr>
              <w:t>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r>
              <w:rPr>
                <w:rFonts w:ascii="Times New Roman" w:hAnsi="Times New Roman" w:cs="Times New Roman"/>
              </w:rPr>
              <w:t>6</w:t>
            </w:r>
          </w:p>
        </w:tc>
        <w:tc>
          <w:tcPr>
            <w:tcW w:w="4903" w:type="dxa"/>
          </w:tcPr>
          <w:p>
            <w:pPr>
              <w:rPr>
                <w:rFonts w:ascii="Times New Roman" w:hAnsi="Times New Roman" w:cs="Times New Roman"/>
                <w:bCs/>
              </w:rPr>
            </w:pPr>
            <w:r>
              <w:rPr>
                <w:rFonts w:ascii="Times New Roman" w:hAnsi="Times New Roman" w:cs="Times New Roman"/>
                <w:bCs/>
              </w:rPr>
              <w:t>Визначення еквівалентних рівнів звуку (шумове навантаження)</w:t>
            </w:r>
          </w:p>
        </w:tc>
        <w:tc>
          <w:tcPr>
            <w:tcW w:w="3827" w:type="dxa"/>
          </w:tcPr>
          <w:p>
            <w:pPr>
              <w:jc w:val="both"/>
              <w:rPr>
                <w:rFonts w:ascii="Times New Roman" w:hAnsi="Times New Roman" w:cs="Times New Roman"/>
              </w:rPr>
            </w:pPr>
            <w:r>
              <w:rPr>
                <w:rFonts w:ascii="Times New Roman" w:hAnsi="Times New Roman" w:cs="Times New Roman"/>
                <w:sz w:val="22"/>
                <w:szCs w:val="22"/>
              </w:rPr>
              <w:t>По 3 заміри 1 раз на рік у 21 школі</w:t>
            </w:r>
          </w:p>
        </w:tc>
        <w:tc>
          <w:tcPr>
            <w:tcW w:w="1264" w:type="dxa"/>
          </w:tcPr>
          <w:p>
            <w:pPr>
              <w:spacing w:after="240"/>
              <w:jc w:val="center"/>
              <w:rPr>
                <w:rFonts w:ascii="Times New Roman" w:hAnsi="Times New Roman" w:cs="Times New Roman"/>
                <w:b/>
              </w:rPr>
            </w:pPr>
            <w:r>
              <w:rPr>
                <w:rFonts w:ascii="Times New Roman" w:hAnsi="Times New Roman" w:cs="Times New Roman"/>
                <w:b/>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r>
              <w:rPr>
                <w:rFonts w:ascii="Times New Roman" w:hAnsi="Times New Roman" w:cs="Times New Roman"/>
              </w:rPr>
              <w:t>7</w:t>
            </w:r>
          </w:p>
        </w:tc>
        <w:tc>
          <w:tcPr>
            <w:tcW w:w="4903" w:type="dxa"/>
          </w:tcPr>
          <w:p>
            <w:pPr>
              <w:rPr>
                <w:rFonts w:ascii="Times New Roman" w:hAnsi="Times New Roman" w:cs="Times New Roman"/>
                <w:bCs/>
              </w:rPr>
            </w:pPr>
            <w:r>
              <w:rPr>
                <w:rFonts w:ascii="Times New Roman" w:hAnsi="Times New Roman" w:cs="Times New Roman"/>
                <w:bCs/>
              </w:rPr>
              <w:t>Визначення рівня загальної або локальної вібрації</w:t>
            </w:r>
          </w:p>
        </w:tc>
        <w:tc>
          <w:tcPr>
            <w:tcW w:w="3827" w:type="dxa"/>
          </w:tcPr>
          <w:p>
            <w:pPr>
              <w:jc w:val="both"/>
              <w:rPr>
                <w:rFonts w:ascii="Times New Roman" w:hAnsi="Times New Roman" w:cs="Times New Roman"/>
              </w:rPr>
            </w:pPr>
            <w:r>
              <w:rPr>
                <w:rFonts w:ascii="Times New Roman" w:hAnsi="Times New Roman" w:cs="Times New Roman"/>
                <w:sz w:val="22"/>
                <w:szCs w:val="22"/>
              </w:rPr>
              <w:t>По 1 заміру 1 раз на рік у 21 школі</w:t>
            </w:r>
          </w:p>
        </w:tc>
        <w:tc>
          <w:tcPr>
            <w:tcW w:w="1264" w:type="dxa"/>
          </w:tcPr>
          <w:p>
            <w:pPr>
              <w:spacing w:after="240"/>
              <w:jc w:val="center"/>
              <w:rPr>
                <w:rFonts w:ascii="Times New Roman" w:hAnsi="Times New Roman" w:cs="Times New Roman"/>
                <w:b/>
              </w:rPr>
            </w:pPr>
            <w:r>
              <w:rPr>
                <w:rFonts w:ascii="Times New Roman" w:hAnsi="Times New Roman" w:cs="Times New Roman"/>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r>
              <w:rPr>
                <w:rFonts w:ascii="Times New Roman" w:hAnsi="Times New Roman" w:cs="Times New Roman"/>
              </w:rPr>
              <w:t>8</w:t>
            </w:r>
          </w:p>
        </w:tc>
        <w:tc>
          <w:tcPr>
            <w:tcW w:w="4903" w:type="dxa"/>
          </w:tcPr>
          <w:p>
            <w:pPr>
              <w:jc w:val="both"/>
              <w:rPr>
                <w:rFonts w:ascii="Times New Roman" w:hAnsi="Times New Roman" w:cs="Times New Roman"/>
              </w:rPr>
            </w:pPr>
            <w:r>
              <w:rPr>
                <w:rFonts w:ascii="Times New Roman" w:hAnsi="Times New Roman" w:cs="Times New Roman"/>
              </w:rPr>
              <w:t>Мікробіологічні (паразитологічні) дослідження піску (грунту) на я/гельмінтів</w:t>
            </w:r>
          </w:p>
        </w:tc>
        <w:tc>
          <w:tcPr>
            <w:tcW w:w="3827" w:type="dxa"/>
          </w:tcPr>
          <w:p>
            <w:pPr>
              <w:jc w:val="both"/>
              <w:rPr>
                <w:rFonts w:ascii="Times New Roman" w:hAnsi="Times New Roman" w:cs="Times New Roman"/>
              </w:rPr>
            </w:pPr>
            <w:r>
              <w:rPr>
                <w:rFonts w:ascii="Times New Roman" w:hAnsi="Times New Roman" w:cs="Times New Roman"/>
              </w:rPr>
              <w:t>По 1 пробі 2 рази на рік (5 пісочниць в НВК)</w:t>
            </w:r>
          </w:p>
          <w:p>
            <w:pPr>
              <w:jc w:val="both"/>
              <w:rPr>
                <w:rFonts w:ascii="Times New Roman" w:hAnsi="Times New Roman" w:cs="Times New Roman"/>
              </w:rPr>
            </w:pPr>
            <w:r>
              <w:rPr>
                <w:rFonts w:ascii="Times New Roman" w:hAnsi="Times New Roman" w:cs="Times New Roman"/>
              </w:rPr>
              <w:t>по 1 пробі 2 рази на рік у 129 групах ЗДО</w:t>
            </w:r>
          </w:p>
        </w:tc>
        <w:tc>
          <w:tcPr>
            <w:tcW w:w="1264" w:type="dxa"/>
          </w:tcPr>
          <w:p>
            <w:pPr>
              <w:jc w:val="center"/>
              <w:rPr>
                <w:rFonts w:ascii="Times New Roman" w:hAnsi="Times New Roman" w:cs="Times New Roman"/>
                <w:b/>
              </w:rPr>
            </w:pPr>
            <w:r>
              <w:rPr>
                <w:rFonts w:ascii="Times New Roman" w:hAnsi="Times New Roman" w:cs="Times New Roman"/>
                <w:b/>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r>
              <w:rPr>
                <w:rFonts w:ascii="Times New Roman" w:hAnsi="Times New Roman" w:cs="Times New Roman"/>
              </w:rPr>
              <w:t>9</w:t>
            </w:r>
          </w:p>
        </w:tc>
        <w:tc>
          <w:tcPr>
            <w:tcW w:w="4903" w:type="dxa"/>
          </w:tcPr>
          <w:p>
            <w:pPr>
              <w:jc w:val="both"/>
              <w:rPr>
                <w:rFonts w:ascii="Times New Roman" w:hAnsi="Times New Roman" w:cs="Times New Roman"/>
              </w:rPr>
            </w:pPr>
            <w:r>
              <w:rPr>
                <w:rFonts w:ascii="Times New Roman" w:hAnsi="Times New Roman" w:cs="Times New Roman"/>
              </w:rPr>
              <w:t>Мікробіологічні дослідження виявлення бактеріального забруднення об</w:t>
            </w:r>
            <w:r>
              <w:rPr>
                <w:rFonts w:ascii="Times New Roman" w:hAnsi="Times New Roman" w:cs="Times New Roman"/>
                <w:lang w:val="en-US"/>
              </w:rPr>
              <w:t>’</w:t>
            </w:r>
            <w:r>
              <w:rPr>
                <w:rFonts w:ascii="Times New Roman" w:hAnsi="Times New Roman" w:cs="Times New Roman"/>
              </w:rPr>
              <w:t>єктів довкілля методом змивів  на патогенну та умовно патогенну мікрофлору</w:t>
            </w:r>
          </w:p>
        </w:tc>
        <w:tc>
          <w:tcPr>
            <w:tcW w:w="3827" w:type="dxa"/>
          </w:tcPr>
          <w:p>
            <w:pPr>
              <w:jc w:val="both"/>
              <w:rPr>
                <w:rFonts w:ascii="Times New Roman" w:hAnsi="Times New Roman" w:cs="Times New Roman"/>
              </w:rPr>
            </w:pPr>
            <w:r>
              <w:rPr>
                <w:rFonts w:ascii="Times New Roman" w:hAnsi="Times New Roman" w:cs="Times New Roman"/>
              </w:rPr>
              <w:t>По 2 змиви у 4-х НВК</w:t>
            </w:r>
          </w:p>
          <w:p>
            <w:pPr>
              <w:jc w:val="both"/>
              <w:rPr>
                <w:rFonts w:ascii="Times New Roman" w:hAnsi="Times New Roman" w:cs="Times New Roman"/>
              </w:rPr>
            </w:pPr>
            <w:r>
              <w:rPr>
                <w:rFonts w:ascii="Times New Roman" w:hAnsi="Times New Roman" w:cs="Times New Roman"/>
              </w:rPr>
              <w:t>По 2 змиви у 115 групах ЗДО</w:t>
            </w:r>
          </w:p>
        </w:tc>
        <w:tc>
          <w:tcPr>
            <w:tcW w:w="1264" w:type="dxa"/>
          </w:tcPr>
          <w:p>
            <w:pPr>
              <w:spacing w:after="240"/>
              <w:jc w:val="center"/>
              <w:rPr>
                <w:rFonts w:ascii="Times New Roman" w:hAnsi="Times New Roman" w:cs="Times New Roman"/>
                <w:b/>
              </w:rPr>
            </w:pPr>
            <w:r>
              <w:rPr>
                <w:rFonts w:ascii="Times New Roman" w:hAnsi="Times New Roman" w:cs="Times New Roman"/>
                <w:b/>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67" w:type="dxa"/>
          </w:tcPr>
          <w:p>
            <w:pPr>
              <w:jc w:val="both"/>
              <w:rPr>
                <w:rFonts w:ascii="Times New Roman" w:hAnsi="Times New Roman" w:cs="Times New Roman"/>
              </w:rPr>
            </w:pPr>
            <w:r>
              <w:rPr>
                <w:rFonts w:ascii="Times New Roman" w:hAnsi="Times New Roman" w:cs="Times New Roman"/>
              </w:rPr>
              <w:t>10</w:t>
            </w:r>
          </w:p>
        </w:tc>
        <w:tc>
          <w:tcPr>
            <w:tcW w:w="4903" w:type="dxa"/>
          </w:tcPr>
          <w:p>
            <w:pPr>
              <w:jc w:val="both"/>
              <w:rPr>
                <w:rFonts w:ascii="Times New Roman" w:hAnsi="Times New Roman" w:cs="Times New Roman"/>
              </w:rPr>
            </w:pPr>
            <w:r>
              <w:rPr>
                <w:rFonts w:ascii="Times New Roman" w:hAnsi="Times New Roman" w:cs="Times New Roman"/>
              </w:rPr>
              <w:t>Дезінфекція (камерне знезараження речей)</w:t>
            </w:r>
          </w:p>
        </w:tc>
        <w:tc>
          <w:tcPr>
            <w:tcW w:w="3827" w:type="dxa"/>
          </w:tcPr>
          <w:p>
            <w:pPr>
              <w:jc w:val="both"/>
              <w:rPr>
                <w:rFonts w:ascii="Times New Roman" w:hAnsi="Times New Roman" w:cs="Times New Roman"/>
              </w:rPr>
            </w:pPr>
            <w:r>
              <w:rPr>
                <w:rFonts w:ascii="Times New Roman" w:hAnsi="Times New Roman" w:cs="Times New Roman"/>
              </w:rPr>
              <w:t>72 загрузки (у 65 групах ЗДО)</w:t>
            </w:r>
          </w:p>
        </w:tc>
        <w:tc>
          <w:tcPr>
            <w:tcW w:w="1264" w:type="dxa"/>
          </w:tcPr>
          <w:p>
            <w:pPr>
              <w:jc w:val="center"/>
              <w:rPr>
                <w:rFonts w:ascii="Times New Roman" w:hAnsi="Times New Roman" w:cs="Times New Roman"/>
                <w:b/>
              </w:rPr>
            </w:pPr>
            <w:r>
              <w:rPr>
                <w:rFonts w:ascii="Times New Roman" w:hAnsi="Times New Roman" w:cs="Times New Roman"/>
                <w:b/>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tcPr>
          <w:p>
            <w:pPr>
              <w:jc w:val="both"/>
              <w:rPr>
                <w:rFonts w:ascii="Times New Roman" w:hAnsi="Times New Roman" w:cs="Times New Roman"/>
              </w:rPr>
            </w:pPr>
          </w:p>
        </w:tc>
        <w:tc>
          <w:tcPr>
            <w:tcW w:w="4903" w:type="dxa"/>
          </w:tcPr>
          <w:p>
            <w:pPr>
              <w:jc w:val="both"/>
              <w:rPr>
                <w:rFonts w:ascii="Times New Roman" w:hAnsi="Times New Roman" w:cs="Times New Roman"/>
                <w:b/>
                <w:sz w:val="26"/>
                <w:szCs w:val="26"/>
              </w:rPr>
            </w:pPr>
            <w:r>
              <w:rPr>
                <w:rFonts w:ascii="Times New Roman" w:hAnsi="Times New Roman" w:cs="Times New Roman"/>
                <w:b/>
                <w:sz w:val="26"/>
                <w:szCs w:val="26"/>
              </w:rPr>
              <w:t>Разом досліджень</w:t>
            </w:r>
          </w:p>
        </w:tc>
        <w:tc>
          <w:tcPr>
            <w:tcW w:w="3827" w:type="dxa"/>
          </w:tcPr>
          <w:p>
            <w:pPr>
              <w:jc w:val="both"/>
              <w:rPr>
                <w:rFonts w:ascii="Times New Roman" w:hAnsi="Times New Roman" w:cs="Times New Roman"/>
              </w:rPr>
            </w:pPr>
          </w:p>
        </w:tc>
        <w:tc>
          <w:tcPr>
            <w:tcW w:w="1264" w:type="dxa"/>
            <w:vAlign w:val="center"/>
          </w:tcPr>
          <w:p>
            <w:pPr>
              <w:jc w:val="center"/>
              <w:rPr>
                <w:rFonts w:ascii="Times New Roman" w:hAnsi="Times New Roman" w:cs="Times New Roman"/>
                <w:b/>
              </w:rPr>
            </w:pPr>
            <w:r>
              <w:rPr>
                <w:rFonts w:ascii="Times New Roman" w:hAnsi="Times New Roman" w:cs="Times New Roman"/>
                <w:b/>
              </w:rPr>
              <w:t>3605</w:t>
            </w:r>
          </w:p>
        </w:tc>
      </w:tr>
    </w:tbl>
    <w:p>
      <w:pPr>
        <w:pStyle w:val="4"/>
        <w:spacing w:before="0" w:beforeAutospacing="0" w:after="0" w:afterAutospacing="0"/>
      </w:pPr>
    </w:p>
    <w:p>
      <w:pPr>
        <w:pStyle w:val="4"/>
        <w:spacing w:before="0" w:beforeAutospacing="0" w:after="0" w:afterAutospacing="0"/>
      </w:pPr>
      <w:r>
        <w:t xml:space="preserve">2. Якісні характеристики предмета закупівлі </w:t>
      </w:r>
    </w:p>
    <w:p>
      <w:pPr>
        <w:pStyle w:val="4"/>
        <w:spacing w:before="0" w:beforeAutospacing="0" w:after="0" w:afterAutospacing="0"/>
      </w:pPr>
      <w:r>
        <w:t xml:space="preserve">2.1. Якість Послуг, що надаються, повинні відповідати рівню, нормам і стандартам, законодавчо встановленим на території України. </w:t>
      </w:r>
    </w:p>
    <w:p>
      <w:pPr>
        <w:pStyle w:val="4"/>
        <w:spacing w:before="0" w:beforeAutospacing="0" w:after="0" w:afterAutospacing="0"/>
      </w:pPr>
      <w:r>
        <w:t xml:space="preserve">2.2. Під час надання Послуг повинні застосовуватися заходи із захисту довкілля, передбачені законодавством України. </w:t>
      </w:r>
    </w:p>
    <w:p>
      <w:pPr>
        <w:pStyle w:val="4"/>
        <w:spacing w:before="0" w:beforeAutospacing="0" w:after="0" w:afterAutospacing="0"/>
      </w:pPr>
      <w:r>
        <w:t xml:space="preserve">2.3. Технічні та якісні характеристики Послуг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pPr>
        <w:pStyle w:val="4"/>
        <w:spacing w:before="0" w:beforeAutospacing="0" w:after="0" w:afterAutospacing="0"/>
      </w:pPr>
      <w:r>
        <w:t xml:space="preserve">- проведення лабораторних бактеріологічних досліджень з використанням сертифікованого обладнання і залученням кваліфікованих спеціалістів; </w:t>
      </w:r>
    </w:p>
    <w:p>
      <w:pPr>
        <w:pStyle w:val="4"/>
        <w:spacing w:before="0" w:beforeAutospacing="0" w:after="0" w:afterAutospacing="0"/>
      </w:pPr>
      <w:r>
        <w:t xml:space="preserve">- забезпечити високу якість, безпеку і вірогідність послуг з бактеріологічних досліджень. </w:t>
      </w:r>
    </w:p>
    <w:p>
      <w:pPr>
        <w:pStyle w:val="4"/>
        <w:spacing w:before="0" w:beforeAutospacing="0" w:after="0" w:afterAutospacing="0"/>
      </w:pPr>
      <w:r>
        <w:t xml:space="preserve">Для підтвердження технічних, якісних та кількісних характеристик предмета закупівлі Учасник у складі тендерної пропозиції повинен надати: </w:t>
      </w:r>
    </w:p>
    <w:p>
      <w:pPr>
        <w:pStyle w:val="4"/>
        <w:spacing w:before="0" w:beforeAutospacing="0" w:after="0" w:afterAutospacing="0"/>
      </w:pPr>
      <w:r>
        <w:t xml:space="preserve">- копія ліцензії (чинної на день розкриття) на право надання Учасником Послуг, якщо надання Послуг, що закуповуються в рамках цих торгів потребують наявності такої ліцензії згідно чинного законодавства; </w:t>
      </w:r>
    </w:p>
    <w:p>
      <w:pPr>
        <w:pStyle w:val="4"/>
        <w:spacing w:before="0" w:beforeAutospacing="0" w:after="0" w:afterAutospacing="0"/>
      </w:pPr>
      <w:r>
        <w:t xml:space="preserve">- копію сертифікату (паспорту) якості та (або) відповідності, та/або висновку державної санітарно-епідеміологічної експертизи, або іншого документа, що підтверджує відповідність послуг державним нормам та стандартам (у випадках передбачених законодавством). </w:t>
      </w:r>
    </w:p>
    <w:p>
      <w:pPr>
        <w:pStyle w:val="4"/>
        <w:spacing w:before="0" w:beforeAutospacing="0" w:after="0" w:afterAutospacing="0"/>
      </w:pPr>
      <w:r>
        <w:t xml:space="preserve">Всі транспортні витрати, пов’язані із використанням послуг, здійснюються за рахунок виконавця робіт. </w:t>
      </w:r>
    </w:p>
    <w:p>
      <w:pPr>
        <w:pStyle w:val="4"/>
        <w:spacing w:before="0" w:beforeAutospacing="0" w:after="0" w:afterAutospacing="0"/>
      </w:pPr>
      <w:r>
        <w:t>Якщо надання послуг є не своєчасним або послуги не відповідають якості, постачальник сплачує штрафи, передбачені чинним законодавством.</w:t>
      </w:r>
    </w:p>
    <w:p>
      <w:pPr>
        <w:jc w:val="both"/>
        <w:rPr>
          <w:rFonts w:ascii="Times New Roman" w:hAnsi="Times New Roman" w:cs="Times New Roman"/>
          <w:b/>
          <w:i/>
          <w:sz w:val="19"/>
          <w:szCs w:val="19"/>
        </w:rPr>
      </w:pPr>
      <w:r>
        <w:rPr>
          <w:rFonts w:ascii="Times New Roman" w:hAnsi="Times New Roman" w:cs="Times New Roman"/>
          <w:b/>
          <w:i/>
          <w:sz w:val="19"/>
          <w:szCs w:val="19"/>
        </w:rPr>
        <w:t xml:space="preserve">*Примітки: </w:t>
      </w:r>
    </w:p>
    <w:p>
      <w:pPr>
        <w:spacing w:line="240" w:lineRule="atLeast"/>
        <w:jc w:val="both"/>
        <w:rPr>
          <w:rFonts w:ascii="Times New Roman" w:hAnsi="Times New Roman" w:cs="Times New Roman"/>
          <w:i/>
          <w:sz w:val="19"/>
          <w:szCs w:val="19"/>
        </w:rPr>
      </w:pPr>
      <w:r>
        <w:rPr>
          <w:rFonts w:ascii="Times New Roman" w:hAnsi="Times New Roman" w:cs="Times New Roman"/>
          <w:i/>
          <w:sz w:val="19"/>
          <w:szCs w:val="19"/>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w:t>
      </w:r>
      <w:r>
        <w:rPr>
          <w:rFonts w:ascii="Times New Roman" w:hAnsi="Times New Roman" w:cs="Times New Roman"/>
          <w:b/>
          <w:i/>
          <w:sz w:val="19"/>
          <w:szCs w:val="19"/>
        </w:rPr>
        <w:t>або еквівалент</w:t>
      </w:r>
      <w:r>
        <w:rPr>
          <w:rFonts w:ascii="Times New Roman" w:hAnsi="Times New Roman" w:cs="Times New Roman"/>
          <w:i/>
          <w:sz w:val="19"/>
          <w:szCs w:val="19"/>
        </w:rPr>
        <w:t>». У технічній специфікації Замовником вказано граничні мінімальні та максимальні показники, яким має відповідати товар. Тобто учасники мають право пропонувати товар з характеристиками, які не будуть гіршими тих, які передбачені у специфікації (в межах граничних мінімальних та максимальних показників).</w:t>
      </w:r>
    </w:p>
    <w:p>
      <w:pPr>
        <w:ind w:firstLine="709"/>
        <w:rPr>
          <w:rFonts w:ascii="Times New Roman" w:hAnsi="Times New Roman" w:cs="Times New Roman"/>
          <w:i/>
          <w:sz w:val="19"/>
          <w:szCs w:val="19"/>
        </w:rPr>
      </w:pPr>
      <w:r>
        <w:rPr>
          <w:rFonts w:ascii="Times New Roman" w:hAnsi="Times New Roman" w:cs="Times New Roman"/>
          <w:i/>
          <w:sz w:val="19"/>
          <w:szCs w:val="19"/>
        </w:rPr>
        <w:t>Якщо пропозиція учасника закупівлі не відповідає технічним та кількісним вимогам до закупівлі або пропонує зміну обсягів або складу товару, ця пропозиція вважається такою, що не відповідає вимогам до закупівлі, та відхиляється замовником.</w:t>
      </w:r>
    </w:p>
    <w:p>
      <w:pPr>
        <w:ind w:firstLine="709"/>
        <w:rPr>
          <w:rFonts w:ascii="Times New Roman" w:hAnsi="Times New Roman" w:cs="Times New Roman"/>
          <w:i/>
          <w:sz w:val="19"/>
          <w:szCs w:val="19"/>
        </w:rPr>
      </w:pPr>
      <w:r>
        <w:rPr>
          <w:rFonts w:ascii="Times New Roman" w:hAnsi="Times New Roman" w:cs="Times New Roman"/>
          <w:i/>
          <w:color w:val="121212"/>
          <w:sz w:val="19"/>
          <w:szCs w:val="19"/>
        </w:rPr>
        <w:t>Учасник несе відповідальність за недостовірність інформації в поданих документах згідно із Законами України.</w:t>
      </w:r>
      <w:r>
        <w:rPr>
          <w:rFonts w:ascii="Times New Roman" w:hAnsi="Times New Roman" w:cs="Times New Roman"/>
          <w:b/>
          <w:i/>
          <w:color w:val="121212"/>
          <w:sz w:val="19"/>
          <w:szCs w:val="19"/>
        </w:rPr>
        <w:t xml:space="preserve"> </w:t>
      </w:r>
      <w:r>
        <w:rPr>
          <w:rFonts w:ascii="Times New Roman" w:hAnsi="Times New Roman" w:cs="Times New Roman"/>
          <w:i/>
          <w:sz w:val="19"/>
          <w:szCs w:val="19"/>
        </w:rPr>
        <w:t>У разі надання учасником недостовірної інформації, він особисто несе відповідальність відповідно до вимог чинного законодавства</w:t>
      </w:r>
    </w:p>
    <w:p>
      <w:pPr>
        <w:numPr>
          <w:numId w:val="0"/>
        </w:numPr>
        <w:spacing w:after="0" w:line="240" w:lineRule="auto"/>
        <w:rPr>
          <w:rFonts w:ascii="Times New Roman" w:hAnsi="Times New Roman" w:cs="Times New Roman"/>
        </w:rPr>
      </w:pPr>
    </w:p>
    <w:sectPr>
      <w:pgSz w:w="11906" w:h="16838"/>
      <w:pgMar w:top="1418" w:right="495" w:bottom="851"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A249A9"/>
    <w:multiLevelType w:val="multilevel"/>
    <w:tmpl w:val="69A249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6D120C"/>
    <w:rsid w:val="000200DE"/>
    <w:rsid w:val="00042391"/>
    <w:rsid w:val="000E3879"/>
    <w:rsid w:val="00112C34"/>
    <w:rsid w:val="001A4925"/>
    <w:rsid w:val="00242A7A"/>
    <w:rsid w:val="00271750"/>
    <w:rsid w:val="004D34AD"/>
    <w:rsid w:val="005208E8"/>
    <w:rsid w:val="00536EE9"/>
    <w:rsid w:val="00644D00"/>
    <w:rsid w:val="006615B5"/>
    <w:rsid w:val="006D120C"/>
    <w:rsid w:val="006F3440"/>
    <w:rsid w:val="0071553D"/>
    <w:rsid w:val="00730145"/>
    <w:rsid w:val="00777DA1"/>
    <w:rsid w:val="008A40B7"/>
    <w:rsid w:val="009B4AC0"/>
    <w:rsid w:val="00A4038D"/>
    <w:rsid w:val="00A81D33"/>
    <w:rsid w:val="00AB6190"/>
    <w:rsid w:val="00C313C5"/>
    <w:rsid w:val="00C5594F"/>
    <w:rsid w:val="00D461F1"/>
    <w:rsid w:val="00E07834"/>
    <w:rsid w:val="00E40AB0"/>
    <w:rsid w:val="00EC6892"/>
    <w:rsid w:val="00F57416"/>
    <w:rsid w:val="00FC2CA7"/>
    <w:rsid w:val="00FC4CC4"/>
    <w:rsid w:val="31D5198C"/>
    <w:rsid w:val="3AB873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spacing w:after="0" w:line="240" w:lineRule="auto"/>
    </w:pPr>
    <w:rPr>
      <w:rFonts w:ascii="Arial Unicode MS" w:hAnsi="Arial Unicode MS" w:eastAsia="Arial Unicode MS" w:cs="Arial Unicode MS"/>
      <w:color w:val="000000"/>
      <w:sz w:val="24"/>
      <w:szCs w:val="24"/>
      <w:lang w:val="uk-UA" w:eastAsia="uk-UA" w:bidi="uk-U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pPr>
    <w:rPr>
      <w:rFonts w:ascii="Times New Roman" w:hAnsi="Times New Roman" w:eastAsia="Times New Roman" w:cs="Times New Roman"/>
      <w:color w:val="auto"/>
      <w:lang w:bidi="ar-SA"/>
    </w:rPr>
  </w:style>
  <w:style w:type="paragraph" w:customStyle="1" w:styleId="5">
    <w:name w:val="Основной текст (3)1"/>
    <w:qFormat/>
    <w:uiPriority w:val="0"/>
    <w:pPr>
      <w:widowControl w:val="0"/>
      <w:shd w:val="clear" w:color="auto" w:fill="FFFFFF"/>
      <w:spacing w:line="240" w:lineRule="atLeast"/>
      <w:jc w:val="center"/>
    </w:pPr>
    <w:rPr>
      <w:rFonts w:ascii="Times New Roman" w:hAnsi="Times New Roman" w:eastAsia="Times New Roman" w:cs="Times New Roman"/>
      <w:b/>
      <w:bCs/>
      <w:color w:val="auto"/>
      <w:sz w:val="20"/>
      <w:szCs w:val="20"/>
      <w:lang w:val="uk-UA" w:eastAsia="uk-UA" w:bidi="ar-SA"/>
    </w:rPr>
  </w:style>
  <w:style w:type="character" w:customStyle="1" w:styleId="6">
    <w:name w:val="Основной текст (3) + Не полужирный"/>
    <w:qFormat/>
    <w:uiPriority w:val="0"/>
    <w:rPr>
      <w:rFonts w:ascii="Times New Roman" w:hAnsi="Times New Roman" w:eastAsia="Times New Roman" w:cs="Times New Roman"/>
      <w:color w:val="000000"/>
      <w:spacing w:val="0"/>
      <w:w w:val="100"/>
      <w:position w:val="0"/>
      <w:sz w:val="24"/>
      <w:szCs w:val="24"/>
      <w:u w:val="none"/>
      <w:lang w:val="uk-UA" w:eastAsia="uk-UA" w:bidi="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956</Words>
  <Characters>545</Characters>
  <Lines>4</Lines>
  <Paragraphs>2</Paragraphs>
  <TotalTime>3</TotalTime>
  <ScaleCrop>false</ScaleCrop>
  <LinksUpToDate>false</LinksUpToDate>
  <CharactersWithSpaces>1499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2021-03-24T08:18:00Z</dcterms:created>
  <dc:creator>admin</dc:creator>
  <cp:lastModifiedBy>Юлія Щеглова</cp:lastModifiedBy>
  <dcterms:modified xsi:type="dcterms:W3CDTF">2023-04-10T12:55:55Z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BBAA614EAA1F41B29B8483088EF83D1D</vt:lpwstr>
  </property>
</Properties>
</file>