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96" w:rsidRPr="005742CE" w:rsidRDefault="00573A96" w:rsidP="00573A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Комунальне підприємство «Житлокомунпослуги»</w:t>
      </w:r>
      <w:r w:rsidRPr="005742CE">
        <w:rPr>
          <w:rFonts w:ascii="Times New Roman" w:hAnsi="Times New Roman" w:cs="Times New Roman"/>
          <w:b/>
          <w:sz w:val="40"/>
          <w:szCs w:val="40"/>
        </w:rPr>
        <w:t xml:space="preserve">  </w:t>
      </w:r>
    </w:p>
    <w:p w:rsidR="00573A96" w:rsidRPr="00AC3735" w:rsidRDefault="00573A96" w:rsidP="00573A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573A96" w:rsidRPr="00AC3735" w:rsidTr="007F4ACB">
        <w:trPr>
          <w:trHeight w:val="80"/>
        </w:trPr>
        <w:tc>
          <w:tcPr>
            <w:tcW w:w="4640" w:type="dxa"/>
            <w:shd w:val="clear" w:color="auto" w:fill="auto"/>
          </w:tcPr>
          <w:p w:rsidR="00573A96" w:rsidRPr="00AC3735" w:rsidRDefault="00573A96" w:rsidP="007F4ACB">
            <w:pPr>
              <w:spacing w:after="0" w:line="240" w:lineRule="auto"/>
              <w:rPr>
                <w:rFonts w:ascii="Times New Roman" w:hAnsi="Times New Roman" w:cs="Times New Roman"/>
                <w:b/>
                <w:bCs/>
              </w:rPr>
            </w:pPr>
          </w:p>
        </w:tc>
        <w:tc>
          <w:tcPr>
            <w:tcW w:w="5110" w:type="dxa"/>
            <w:shd w:val="clear" w:color="auto" w:fill="auto"/>
          </w:tcPr>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573A96" w:rsidRPr="00AC3735" w:rsidRDefault="00AC2AF4"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r w:rsidR="00573A96" w:rsidRPr="00AC3735">
              <w:rPr>
                <w:rFonts w:ascii="Times New Roman" w:hAnsi="Times New Roman" w:cs="Times New Roman"/>
                <w:bCs/>
                <w:sz w:val="24"/>
                <w:szCs w:val="24"/>
              </w:rPr>
              <w:t xml:space="preserve"> </w:t>
            </w:r>
            <w:r>
              <w:rPr>
                <w:rFonts w:ascii="Times New Roman" w:hAnsi="Times New Roman" w:cs="Times New Roman"/>
                <w:bCs/>
                <w:sz w:val="24"/>
                <w:szCs w:val="24"/>
              </w:rPr>
              <w:t>березня</w:t>
            </w:r>
            <w:r w:rsidR="00573A96" w:rsidRPr="00AC3735">
              <w:rPr>
                <w:rFonts w:ascii="Times New Roman" w:hAnsi="Times New Roman" w:cs="Times New Roman"/>
                <w:bCs/>
                <w:sz w:val="24"/>
                <w:szCs w:val="24"/>
              </w:rPr>
              <w:t xml:space="preserve"> 202</w:t>
            </w:r>
            <w:r>
              <w:rPr>
                <w:rFonts w:ascii="Times New Roman" w:hAnsi="Times New Roman" w:cs="Times New Roman"/>
                <w:bCs/>
                <w:sz w:val="24"/>
                <w:szCs w:val="24"/>
              </w:rPr>
              <w:t>4</w:t>
            </w:r>
            <w:r w:rsidR="00573A96" w:rsidRPr="00AC3735">
              <w:rPr>
                <w:rFonts w:ascii="Times New Roman" w:hAnsi="Times New Roman" w:cs="Times New Roman"/>
                <w:bCs/>
                <w:sz w:val="24"/>
                <w:szCs w:val="24"/>
              </w:rPr>
              <w:t xml:space="preserve"> року</w:t>
            </w:r>
          </w:p>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573A96" w:rsidRPr="00AC3735" w:rsidRDefault="00573A96"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М. Витак</w:t>
            </w:r>
          </w:p>
          <w:p w:rsidR="00573A96" w:rsidRPr="00AC3735" w:rsidRDefault="00573A96" w:rsidP="007F4ACB">
            <w:pPr>
              <w:spacing w:after="0" w:line="240" w:lineRule="auto"/>
              <w:rPr>
                <w:rFonts w:ascii="Times New Roman" w:hAnsi="Times New Roman" w:cs="Times New Roman"/>
                <w:bCs/>
                <w:sz w:val="24"/>
                <w:szCs w:val="24"/>
              </w:rPr>
            </w:pPr>
          </w:p>
          <w:p w:rsidR="00573A96" w:rsidRPr="00AC3735" w:rsidRDefault="00573A96" w:rsidP="007F4ACB">
            <w:pPr>
              <w:spacing w:after="0" w:line="240" w:lineRule="auto"/>
              <w:rPr>
                <w:rFonts w:ascii="Times New Roman" w:hAnsi="Times New Roman" w:cs="Times New Roman"/>
                <w:sz w:val="24"/>
                <w:szCs w:val="24"/>
                <w:shd w:val="clear" w:color="auto" w:fill="FFFF00"/>
              </w:rPr>
            </w:pPr>
          </w:p>
        </w:tc>
      </w:tr>
    </w:tbl>
    <w:p w:rsidR="00573A96" w:rsidRPr="00AC3735" w:rsidRDefault="00573A96" w:rsidP="00573A96">
      <w:pPr>
        <w:widowControl w:val="0"/>
        <w:spacing w:after="0" w:line="240" w:lineRule="auto"/>
        <w:ind w:firstLine="567"/>
        <w:jc w:val="center"/>
        <w:rPr>
          <w:rFonts w:ascii="Times New Roman" w:hAnsi="Times New Roman" w:cs="Times New Roman"/>
          <w:b/>
        </w:rPr>
      </w:pPr>
    </w:p>
    <w:tbl>
      <w:tblPr>
        <w:tblW w:w="0" w:type="auto"/>
        <w:tblCellSpacing w:w="15" w:type="dxa"/>
        <w:tblCellMar>
          <w:top w:w="15" w:type="dxa"/>
          <w:left w:w="15" w:type="dxa"/>
          <w:bottom w:w="15" w:type="dxa"/>
          <w:right w:w="15" w:type="dxa"/>
        </w:tblCellMar>
        <w:tblLook w:val="04A0"/>
      </w:tblPr>
      <w:tblGrid>
        <w:gridCol w:w="81"/>
        <w:gridCol w:w="81"/>
      </w:tblGrid>
      <w:tr w:rsidR="00573A96" w:rsidRPr="0002324E" w:rsidTr="007F4ACB">
        <w:trPr>
          <w:tblCellSpacing w:w="15" w:type="dxa"/>
        </w:trPr>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r>
    </w:tbl>
    <w:p w:rsidR="00573A96" w:rsidRPr="00AC3735" w:rsidRDefault="00573A96" w:rsidP="00573A96">
      <w:pPr>
        <w:spacing w:after="0" w:line="240" w:lineRule="auto"/>
        <w:jc w:val="right"/>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Дизельне паливо</w:t>
      </w:r>
    </w:p>
    <w:p w:rsidR="00573A96" w:rsidRPr="00AC3735" w:rsidRDefault="00573A96" w:rsidP="00573A96">
      <w:pPr>
        <w:spacing w:after="0" w:line="240" w:lineRule="auto"/>
        <w:jc w:val="center"/>
        <w:rPr>
          <w:rFonts w:ascii="Times New Roman" w:hAnsi="Times New Roman" w:cs="Times New Roman"/>
          <w:b/>
          <w:bCs/>
          <w:i/>
          <w:sz w:val="28"/>
          <w:szCs w:val="28"/>
        </w:rPr>
      </w:pPr>
    </w:p>
    <w:p w:rsidR="00573A96" w:rsidRPr="00C52732" w:rsidRDefault="00573A96" w:rsidP="00573A96">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 xml:space="preserve">(код </w:t>
      </w:r>
      <w:r w:rsidRPr="00C52732">
        <w:rPr>
          <w:rFonts w:ascii="Times New Roman" w:hAnsi="Times New Roman" w:cs="Times New Roman"/>
          <w:b/>
          <w:i/>
          <w:sz w:val="28"/>
          <w:szCs w:val="28"/>
        </w:rPr>
        <w:t>ДК 021:2015 – 09130000-9- «Нафта і дистиляти»</w:t>
      </w:r>
      <w:r w:rsidRPr="00C52732">
        <w:rPr>
          <w:rFonts w:ascii="Times New Roman" w:hAnsi="Times New Roman" w:cs="Times New Roman"/>
          <w:b/>
          <w:i/>
          <w:sz w:val="28"/>
          <w:szCs w:val="28"/>
          <w:lang w:bidi="uk-UA"/>
        </w:rPr>
        <w:t>)</w:t>
      </w:r>
    </w:p>
    <w:p w:rsidR="00573A96" w:rsidRPr="00AC3735" w:rsidRDefault="00573A96" w:rsidP="00573A96">
      <w:pPr>
        <w:spacing w:after="0" w:line="240" w:lineRule="auto"/>
        <w:jc w:val="center"/>
        <w:rPr>
          <w:rFonts w:ascii="Times New Roman" w:hAnsi="Times New Roman" w:cs="Times New Roman"/>
          <w:b/>
          <w:bCs/>
          <w:i/>
          <w:sz w:val="28"/>
          <w:szCs w:val="28"/>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5742CE" w:rsidRDefault="00573A96" w:rsidP="00573A96">
      <w:pPr>
        <w:spacing w:after="0" w:line="240" w:lineRule="auto"/>
        <w:jc w:val="center"/>
        <w:rPr>
          <w:rFonts w:ascii="Times New Roman" w:hAnsi="Times New Roman" w:cs="Times New Roman"/>
          <w:b/>
        </w:rPr>
      </w:pPr>
      <w:r>
        <w:rPr>
          <w:rFonts w:ascii="Times New Roman" w:hAnsi="Times New Roman" w:cs="Times New Roman"/>
          <w:b/>
          <w:color w:val="000000"/>
          <w:sz w:val="32"/>
          <w:szCs w:val="32"/>
        </w:rPr>
        <w:t>смт. Гніздичів</w:t>
      </w:r>
      <w:r w:rsidRPr="00AC3735">
        <w:rPr>
          <w:rFonts w:ascii="Times New Roman" w:hAnsi="Times New Roman" w:cs="Times New Roman"/>
          <w:b/>
          <w:color w:val="000000"/>
          <w:sz w:val="32"/>
          <w:szCs w:val="32"/>
        </w:rPr>
        <w:t xml:space="preserve"> – 202</w:t>
      </w:r>
      <w:r w:rsidR="008679B3">
        <w:rPr>
          <w:rFonts w:ascii="Times New Roman" w:hAnsi="Times New Roman" w:cs="Times New Roman"/>
          <w:b/>
          <w:color w:val="000000"/>
          <w:sz w:val="32"/>
          <w:szCs w:val="32"/>
        </w:rPr>
        <w:t>4</w:t>
      </w:r>
    </w:p>
    <w:tbl>
      <w:tblPr>
        <w:tblStyle w:val="12"/>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666D1C" w:rsidRDefault="00574B27"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 «Житлокомунпослуги»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666D1C" w:rsidP="00BE1186">
            <w:pPr>
              <w:pStyle w:val="11"/>
              <w:widowControl w:val="0"/>
              <w:pBdr>
                <w:top w:val="nil"/>
                <w:left w:val="nil"/>
                <w:bottom w:val="nil"/>
                <w:right w:val="nil"/>
                <w:between w:val="nil"/>
              </w:pBdr>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81740, Львівська область, Стрийський район, смт. Гніздичів, вул. Грушевського,</w:t>
            </w:r>
            <w:r w:rsidR="00574B27">
              <w:rPr>
                <w:rFonts w:ascii="Times New Roman" w:hAnsi="Times New Roman" w:cs="Times New Roman"/>
                <w:kern w:val="2"/>
                <w:sz w:val="24"/>
                <w:szCs w:val="24"/>
                <w:lang w:eastAsia="ru-RU"/>
              </w:rPr>
              <w:t xml:space="preserve"> 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Витак Марія Володимирівна (уповноважена особа) –</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Посада – бухгалтер КП «Житлокомунпослуги»</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тел. 067-39-32-564</w:t>
            </w:r>
          </w:p>
          <w:p w:rsidR="00AC3735" w:rsidRPr="00A43CFA" w:rsidRDefault="00574B27" w:rsidP="00574B2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Pr="00273BC7">
              <w:rPr>
                <w:rFonts w:ascii="Times New Roman" w:eastAsia="Times New Roman" w:hAnsi="Times New Roman" w:cs="Times New Roman"/>
                <w:sz w:val="24"/>
                <w:szCs w:val="24"/>
              </w:rPr>
              <w:t>v.savchak@rambler.ru</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367696" w:rsidP="002618BB">
            <w:pPr>
              <w:autoSpaceDE w:val="0"/>
              <w:autoSpaceDN w:val="0"/>
              <w:adjustRightInd w:val="0"/>
              <w:jc w:val="both"/>
              <w:rPr>
                <w:rFonts w:ascii="Times New Roman" w:hAnsi="Times New Roman" w:cs="Times New Roman"/>
                <w:sz w:val="24"/>
                <w:szCs w:val="24"/>
                <w:lang w:bidi="uk-UA"/>
              </w:rPr>
            </w:pPr>
            <w:r>
              <w:rPr>
                <w:rFonts w:ascii="Times New Roman" w:hAnsi="Times New Roman" w:cs="Times New Roman"/>
                <w:bCs/>
                <w:sz w:val="24"/>
                <w:szCs w:val="24"/>
              </w:rPr>
              <w:t>Д</w:t>
            </w:r>
            <w:r w:rsidR="00074F7F">
              <w:rPr>
                <w:rFonts w:ascii="Times New Roman" w:hAnsi="Times New Roman" w:cs="Times New Roman"/>
                <w:bCs/>
                <w:sz w:val="24"/>
                <w:szCs w:val="24"/>
              </w:rPr>
              <w:t>изельне паливо (код ДК 021:2015 – 09130000-9- «Нафта та дистиляти»)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E210A0" w:rsidRDefault="00B720F9" w:rsidP="00574B27">
            <w:pPr>
              <w:autoSpaceDE w:val="0"/>
              <w:adjustRightInd w:val="0"/>
              <w:jc w:val="both"/>
              <w:rPr>
                <w:rFonts w:ascii="Times New Roman" w:hAnsi="Times New Roman" w:cs="Times New Roman"/>
                <w:sz w:val="24"/>
                <w:szCs w:val="24"/>
              </w:rPr>
            </w:pPr>
            <w:r w:rsidRPr="00402B65">
              <w:rPr>
                <w:rFonts w:ascii="Times New Roman" w:hAnsi="Times New Roman" w:cs="Times New Roman"/>
                <w:color w:val="000000"/>
                <w:sz w:val="24"/>
                <w:szCs w:val="24"/>
              </w:rPr>
              <w:t xml:space="preserve">81740, Львівська область, смт. Гніздичів, вул. Грушевського, </w:t>
            </w:r>
            <w:r w:rsidR="00574B27">
              <w:rPr>
                <w:rFonts w:ascii="Times New Roman" w:hAnsi="Times New Roman" w:cs="Times New Roman"/>
                <w:color w:val="000000"/>
                <w:sz w:val="24"/>
                <w:szCs w:val="24"/>
              </w:rPr>
              <w:t>3</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AC2AF4">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до </w:t>
            </w:r>
            <w:r w:rsidR="00B720F9">
              <w:rPr>
                <w:rFonts w:ascii="Times New Roman" w:eastAsia="Times New Roman" w:hAnsi="Times New Roman" w:cs="Times New Roman"/>
                <w:color w:val="000000"/>
                <w:sz w:val="24"/>
                <w:szCs w:val="24"/>
              </w:rPr>
              <w:t>31</w:t>
            </w:r>
            <w:r w:rsidRPr="00AC3735">
              <w:rPr>
                <w:rFonts w:ascii="Times New Roman" w:eastAsia="Times New Roman" w:hAnsi="Times New Roman" w:cs="Times New Roman"/>
                <w:color w:val="000000"/>
                <w:sz w:val="24"/>
                <w:szCs w:val="24"/>
              </w:rPr>
              <w:t>.</w:t>
            </w:r>
            <w:r w:rsidR="00B720F9">
              <w:rPr>
                <w:rFonts w:ascii="Times New Roman" w:eastAsia="Times New Roman" w:hAnsi="Times New Roman" w:cs="Times New Roman"/>
                <w:color w:val="000000"/>
                <w:sz w:val="24"/>
                <w:szCs w:val="24"/>
              </w:rPr>
              <w:t>12</w:t>
            </w:r>
            <w:r w:rsidRPr="00AC3735">
              <w:rPr>
                <w:rFonts w:ascii="Times New Roman" w:eastAsia="Times New Roman" w:hAnsi="Times New Roman" w:cs="Times New Roman"/>
                <w:color w:val="000000"/>
                <w:sz w:val="24"/>
                <w:szCs w:val="24"/>
              </w:rPr>
              <w:t>.202</w:t>
            </w:r>
            <w:r w:rsidR="00AC2AF4">
              <w:rPr>
                <w:rFonts w:ascii="Times New Roman" w:eastAsia="Times New Roman" w:hAnsi="Times New Roman" w:cs="Times New Roman"/>
                <w:color w:val="000000"/>
                <w:sz w:val="24"/>
                <w:szCs w:val="24"/>
              </w:rPr>
              <w:t>4</w:t>
            </w:r>
            <w:r w:rsidRPr="00AC3735">
              <w:rPr>
                <w:rFonts w:ascii="Times New Roman" w:eastAsia="Times New Roman" w:hAnsi="Times New Roman" w:cs="Times New Roman"/>
                <w:color w:val="000000"/>
                <w:sz w:val="24"/>
                <w:szCs w:val="24"/>
              </w:rPr>
              <w:t xml:space="preserve"> року</w:t>
            </w:r>
            <w:r w:rsidR="00C0510C">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1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w:t>
            </w:r>
            <w:bookmarkStart w:id="0" w:name="_GoBack"/>
            <w:bookmarkEnd w:id="0"/>
            <w:r w:rsidRPr="009A7F70">
              <w:rPr>
                <w:rFonts w:ascii="Times New Roman" w:eastAsia="Times New Roman" w:hAnsi="Times New Roman"/>
                <w:sz w:val="24"/>
                <w:szCs w:val="24"/>
                <w:lang w:eastAsia="ru-RU"/>
              </w:rPr>
              <w:t>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D4752D" w:rsidRPr="009A7F70">
              <w:rPr>
                <w:rFonts w:ascii="Times New Roman" w:eastAsia="Times New Roman" w:hAnsi="Times New Roman"/>
                <w:sz w:val="24"/>
                <w:szCs w:val="24"/>
                <w:lang w:eastAsia="ru-RU"/>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1" w:name="n559"/>
            <w:bookmarkEnd w:id="1"/>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AC3735">
              <w:rPr>
                <w:rFonts w:ascii="Times New Roman" w:eastAsia="Times New Roman" w:hAnsi="Times New Roman" w:cs="Times New Roman"/>
                <w:color w:val="000000"/>
                <w:sz w:val="24"/>
                <w:szCs w:val="24"/>
              </w:rPr>
              <w:lastRenderedPageBreak/>
              <w:t>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 xml:space="preserve">погодитися з вимогою та продовжити строк дії поданої ним тендерної пропозиції і наданого </w:t>
            </w:r>
            <w:r w:rsidRPr="00F64330">
              <w:rPr>
                <w:rFonts w:ascii="Times New Roman" w:eastAsia="Times New Roman" w:hAnsi="Times New Roman"/>
                <w:sz w:val="24"/>
                <w:szCs w:val="24"/>
                <w:lang w:eastAsia="ru-RU"/>
              </w:rPr>
              <w:lastRenderedPageBreak/>
              <w:t>забезпечення тендерної пропозиції.</w:t>
            </w:r>
          </w:p>
          <w:p w:rsidR="00AC3735" w:rsidRPr="00AC3735" w:rsidRDefault="00F64330"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1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DEB" w:rsidRPr="00705DEB" w:rsidRDefault="00705DEB" w:rsidP="00705DEB">
            <w:pPr>
              <w:pStyle w:val="rvps2"/>
              <w:spacing w:before="0" w:beforeAutospacing="0" w:after="0" w:afterAutospacing="0"/>
              <w:jc w:val="both"/>
            </w:pPr>
            <w:bookmarkStart w:id="2" w:name="n616"/>
            <w:bookmarkEnd w:id="2"/>
            <w:r w:rsidRPr="00705DEB">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705DEB">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3" w:name="n617"/>
            <w:bookmarkEnd w:id="3"/>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4" w:name="n618"/>
            <w:bookmarkEnd w:id="4"/>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5" w:name="n619"/>
            <w:bookmarkEnd w:id="5"/>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6" w:name="n620"/>
            <w:bookmarkEnd w:id="6"/>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1"/>
            <w:bookmarkEnd w:id="7"/>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8" w:name="n622"/>
            <w:bookmarkEnd w:id="8"/>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9" w:name="n623"/>
            <w:bookmarkEnd w:id="9"/>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10" w:name="n624"/>
            <w:bookmarkEnd w:id="10"/>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1" w:name="n625"/>
            <w:bookmarkEnd w:id="11"/>
            <w:r w:rsidRPr="00705DEB">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705DEB">
              <w:lastRenderedPageBreak/>
              <w:t>товару (товарів), послуги (послуг) або робіт дорівнює чи перевищує 20 млн. гривень (у тому числі за лотом);</w:t>
            </w:r>
          </w:p>
          <w:p w:rsidR="00C0510C" w:rsidRDefault="00705DEB" w:rsidP="00705DEB">
            <w:pPr>
              <w:pStyle w:val="rvps2"/>
              <w:spacing w:before="0" w:beforeAutospacing="0" w:after="0" w:afterAutospacing="0"/>
              <w:jc w:val="both"/>
            </w:pPr>
            <w:bookmarkStart w:id="12" w:name="n626"/>
            <w:bookmarkEnd w:id="12"/>
            <w:r w:rsidRPr="00705DEB">
              <w:t xml:space="preserve"> - </w:t>
            </w:r>
            <w:r w:rsidR="00C0510C">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00C0510C" w:rsidRPr="00C0510C">
                <w:rPr>
                  <w:rStyle w:val="aa"/>
                  <w:color w:val="auto"/>
                  <w:u w:val="none"/>
                </w:rPr>
                <w:t>Законом України</w:t>
              </w:r>
            </w:hyperlink>
            <w:r w:rsidR="00C0510C" w:rsidRPr="00C0510C">
              <w:rPr>
                <w:rStyle w:val="rvts0"/>
              </w:rPr>
              <w:t xml:space="preserve"> </w:t>
            </w:r>
            <w:r w:rsidR="00C0510C">
              <w:rPr>
                <w:rStyle w:val="rvts0"/>
              </w:rPr>
              <w:t>“Про санкції”,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w:t>
            </w:r>
            <w:r w:rsidR="002F339A" w:rsidRPr="002F339A">
              <w:rPr>
                <w:rStyle w:val="rvts0"/>
                <w:rFonts w:ascii="Times New Roman" w:hAnsi="Times New Roman" w:cs="Times New Roman"/>
                <w:sz w:val="24"/>
                <w:szCs w:val="24"/>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AC3735">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15532">
              <w:rPr>
                <w:rFonts w:ascii="Times New Roman" w:eastAsia="Times New Roman" w:hAnsi="Times New Roman" w:cs="Times New Roman"/>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8</w:t>
            </w:r>
          </w:p>
        </w:tc>
        <w:tc>
          <w:tcPr>
            <w:tcW w:w="3437"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1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t>О</w:t>
            </w:r>
            <w:r w:rsidRPr="00C4095A">
              <w:t xml:space="preserve">собливостей), зазначена в тендерній пропозиції (тендерних пропозиціях), у тому числі інформація про </w:t>
            </w:r>
            <w:r w:rsidRPr="00C4095A">
              <w:lastRenderedPageBreak/>
              <w:t xml:space="preserve">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AC3735">
              <w:rPr>
                <w:rFonts w:ascii="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AC3735">
              <w:rPr>
                <w:rFonts w:ascii="Times New Roman" w:hAnsi="Times New Roman" w:cs="Times New Roman"/>
                <w:sz w:val="24"/>
                <w:szCs w:val="24"/>
              </w:rPr>
              <w:lastRenderedPageBreak/>
              <w:t>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11"/>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F3A52">
              <w:rPr>
                <w:rStyle w:val="rvts0"/>
                <w:rFonts w:ascii="Times New Roman" w:hAnsi="Times New Roman" w:cs="Times New Roman"/>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4B553E">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4.2. Замовник може відхилити тендерну пропозицію із 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 xml:space="preserve">2) учасник процедури закупівлі не виконав свої </w:t>
            </w:r>
            <w: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0A2D32">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lastRenderedPageBreak/>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67" w:rsidRDefault="00C71067" w:rsidP="000F7E64">
      <w:pPr>
        <w:spacing w:after="0" w:line="240" w:lineRule="auto"/>
      </w:pPr>
      <w:r>
        <w:separator/>
      </w:r>
    </w:p>
  </w:endnote>
  <w:endnote w:type="continuationSeparator" w:id="1">
    <w:p w:rsidR="00C71067" w:rsidRDefault="00C71067"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67" w:rsidRDefault="00C71067" w:rsidP="000F7E64">
      <w:pPr>
        <w:spacing w:after="0" w:line="240" w:lineRule="auto"/>
      </w:pPr>
      <w:r>
        <w:separator/>
      </w:r>
    </w:p>
  </w:footnote>
  <w:footnote w:type="continuationSeparator" w:id="1">
    <w:p w:rsidR="00C71067" w:rsidRDefault="00C71067"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0D1496">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679B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4F7F"/>
    <w:rsid w:val="0007739A"/>
    <w:rsid w:val="00084CA4"/>
    <w:rsid w:val="00090407"/>
    <w:rsid w:val="000A2D32"/>
    <w:rsid w:val="000A750D"/>
    <w:rsid w:val="000C07C9"/>
    <w:rsid w:val="000D0950"/>
    <w:rsid w:val="000D1496"/>
    <w:rsid w:val="000D5A4C"/>
    <w:rsid w:val="000E73A4"/>
    <w:rsid w:val="000F5F29"/>
    <w:rsid w:val="000F7E64"/>
    <w:rsid w:val="00122769"/>
    <w:rsid w:val="00157C4C"/>
    <w:rsid w:val="0016105B"/>
    <w:rsid w:val="00193ADD"/>
    <w:rsid w:val="001A35D6"/>
    <w:rsid w:val="001A3B28"/>
    <w:rsid w:val="001A5DED"/>
    <w:rsid w:val="001C1802"/>
    <w:rsid w:val="001C1843"/>
    <w:rsid w:val="001D0526"/>
    <w:rsid w:val="001F3425"/>
    <w:rsid w:val="001F51A7"/>
    <w:rsid w:val="002618BB"/>
    <w:rsid w:val="00262CB8"/>
    <w:rsid w:val="00292CA3"/>
    <w:rsid w:val="00294585"/>
    <w:rsid w:val="002A31B6"/>
    <w:rsid w:val="002B481A"/>
    <w:rsid w:val="002C1273"/>
    <w:rsid w:val="002D57FA"/>
    <w:rsid w:val="002F339A"/>
    <w:rsid w:val="003049B4"/>
    <w:rsid w:val="003059DD"/>
    <w:rsid w:val="00307363"/>
    <w:rsid w:val="00311BDF"/>
    <w:rsid w:val="00315E55"/>
    <w:rsid w:val="00365807"/>
    <w:rsid w:val="00367696"/>
    <w:rsid w:val="00370D52"/>
    <w:rsid w:val="00387C81"/>
    <w:rsid w:val="003A26FA"/>
    <w:rsid w:val="003E4AE9"/>
    <w:rsid w:val="00434944"/>
    <w:rsid w:val="0044008F"/>
    <w:rsid w:val="004541EE"/>
    <w:rsid w:val="0045422F"/>
    <w:rsid w:val="00463D0F"/>
    <w:rsid w:val="00465CF0"/>
    <w:rsid w:val="00474221"/>
    <w:rsid w:val="00484A96"/>
    <w:rsid w:val="00492FDD"/>
    <w:rsid w:val="004A32A5"/>
    <w:rsid w:val="004B217A"/>
    <w:rsid w:val="004B553E"/>
    <w:rsid w:val="004C4B1E"/>
    <w:rsid w:val="004C59E3"/>
    <w:rsid w:val="004F23FF"/>
    <w:rsid w:val="004F2493"/>
    <w:rsid w:val="004F3EBB"/>
    <w:rsid w:val="004F7654"/>
    <w:rsid w:val="0050483F"/>
    <w:rsid w:val="00523AA4"/>
    <w:rsid w:val="005302A1"/>
    <w:rsid w:val="00532355"/>
    <w:rsid w:val="005455CC"/>
    <w:rsid w:val="005631A3"/>
    <w:rsid w:val="00567BBA"/>
    <w:rsid w:val="00573A96"/>
    <w:rsid w:val="005742CE"/>
    <w:rsid w:val="005746CB"/>
    <w:rsid w:val="00574B27"/>
    <w:rsid w:val="0058170B"/>
    <w:rsid w:val="00597104"/>
    <w:rsid w:val="005B048C"/>
    <w:rsid w:val="005B0FF3"/>
    <w:rsid w:val="005B5361"/>
    <w:rsid w:val="005B63BC"/>
    <w:rsid w:val="005C6D5B"/>
    <w:rsid w:val="005D2AA4"/>
    <w:rsid w:val="005D5B9F"/>
    <w:rsid w:val="005D7964"/>
    <w:rsid w:val="00605992"/>
    <w:rsid w:val="00624E8F"/>
    <w:rsid w:val="00640B76"/>
    <w:rsid w:val="006537A9"/>
    <w:rsid w:val="00654AA5"/>
    <w:rsid w:val="006604E3"/>
    <w:rsid w:val="00666D1C"/>
    <w:rsid w:val="00677BD5"/>
    <w:rsid w:val="00684EC9"/>
    <w:rsid w:val="006A4210"/>
    <w:rsid w:val="006B48F2"/>
    <w:rsid w:val="006C5D1F"/>
    <w:rsid w:val="006D37C6"/>
    <w:rsid w:val="00705DEB"/>
    <w:rsid w:val="0072327B"/>
    <w:rsid w:val="00753E5D"/>
    <w:rsid w:val="00776DA4"/>
    <w:rsid w:val="007B2E04"/>
    <w:rsid w:val="007D6931"/>
    <w:rsid w:val="007F299C"/>
    <w:rsid w:val="007F4083"/>
    <w:rsid w:val="00821BB3"/>
    <w:rsid w:val="00857DC1"/>
    <w:rsid w:val="008679B3"/>
    <w:rsid w:val="008728C7"/>
    <w:rsid w:val="00872C71"/>
    <w:rsid w:val="00890F6C"/>
    <w:rsid w:val="00896ED1"/>
    <w:rsid w:val="008A2F9C"/>
    <w:rsid w:val="008B0EA4"/>
    <w:rsid w:val="00902889"/>
    <w:rsid w:val="00902B0E"/>
    <w:rsid w:val="00927522"/>
    <w:rsid w:val="00933CBB"/>
    <w:rsid w:val="0099636F"/>
    <w:rsid w:val="009C1DD6"/>
    <w:rsid w:val="009C69BE"/>
    <w:rsid w:val="009D7C82"/>
    <w:rsid w:val="009E2132"/>
    <w:rsid w:val="009E357B"/>
    <w:rsid w:val="00A14488"/>
    <w:rsid w:val="00A15532"/>
    <w:rsid w:val="00A238E6"/>
    <w:rsid w:val="00A23C20"/>
    <w:rsid w:val="00A40033"/>
    <w:rsid w:val="00A40AD1"/>
    <w:rsid w:val="00A43CFA"/>
    <w:rsid w:val="00A746C9"/>
    <w:rsid w:val="00A83E53"/>
    <w:rsid w:val="00AA204E"/>
    <w:rsid w:val="00AC1E36"/>
    <w:rsid w:val="00AC28AC"/>
    <w:rsid w:val="00AC2AF4"/>
    <w:rsid w:val="00AC2B62"/>
    <w:rsid w:val="00AC3735"/>
    <w:rsid w:val="00AD22EA"/>
    <w:rsid w:val="00AD3623"/>
    <w:rsid w:val="00AF3A52"/>
    <w:rsid w:val="00AF412C"/>
    <w:rsid w:val="00B14E26"/>
    <w:rsid w:val="00B21D06"/>
    <w:rsid w:val="00B376E6"/>
    <w:rsid w:val="00B720F9"/>
    <w:rsid w:val="00B8308C"/>
    <w:rsid w:val="00B93464"/>
    <w:rsid w:val="00B95B76"/>
    <w:rsid w:val="00BA5375"/>
    <w:rsid w:val="00BD5416"/>
    <w:rsid w:val="00BE1186"/>
    <w:rsid w:val="00C0459F"/>
    <w:rsid w:val="00C0510C"/>
    <w:rsid w:val="00C17FE5"/>
    <w:rsid w:val="00C3709D"/>
    <w:rsid w:val="00C402C7"/>
    <w:rsid w:val="00C4095A"/>
    <w:rsid w:val="00C4793E"/>
    <w:rsid w:val="00C71067"/>
    <w:rsid w:val="00CA1AF3"/>
    <w:rsid w:val="00CB6CFD"/>
    <w:rsid w:val="00CE3678"/>
    <w:rsid w:val="00CE4266"/>
    <w:rsid w:val="00CF56C5"/>
    <w:rsid w:val="00D12A24"/>
    <w:rsid w:val="00D1436A"/>
    <w:rsid w:val="00D45AF1"/>
    <w:rsid w:val="00D4752D"/>
    <w:rsid w:val="00D826B7"/>
    <w:rsid w:val="00DB76AA"/>
    <w:rsid w:val="00DD121C"/>
    <w:rsid w:val="00DF3655"/>
    <w:rsid w:val="00E210A0"/>
    <w:rsid w:val="00E26CB7"/>
    <w:rsid w:val="00E37EF6"/>
    <w:rsid w:val="00E747C6"/>
    <w:rsid w:val="00E87834"/>
    <w:rsid w:val="00EB0765"/>
    <w:rsid w:val="00EB5AA7"/>
    <w:rsid w:val="00EC12E4"/>
    <w:rsid w:val="00EC1DB0"/>
    <w:rsid w:val="00EC74C3"/>
    <w:rsid w:val="00EF0B6E"/>
    <w:rsid w:val="00EF5891"/>
    <w:rsid w:val="00F02899"/>
    <w:rsid w:val="00F145F5"/>
    <w:rsid w:val="00F31F53"/>
    <w:rsid w:val="00F33426"/>
    <w:rsid w:val="00F41FD6"/>
    <w:rsid w:val="00F5427A"/>
    <w:rsid w:val="00F64330"/>
    <w:rsid w:val="00F738F8"/>
    <w:rsid w:val="00F80277"/>
    <w:rsid w:val="00F806B0"/>
    <w:rsid w:val="00FA3B64"/>
    <w:rsid w:val="00FB4865"/>
    <w:rsid w:val="00FB5D7D"/>
    <w:rsid w:val="00FD288C"/>
    <w:rsid w:val="00FD457A"/>
    <w:rsid w:val="00FE005C"/>
    <w:rsid w:val="00FE26A7"/>
    <w:rsid w:val="00FE47CC"/>
    <w:rsid w:val="00FE78C6"/>
    <w:rsid w:val="00FE7F08"/>
    <w:rsid w:val="00FF20C3"/>
    <w:rsid w:val="00FF43A6"/>
    <w:rsid w:val="00FF7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paragraph" w:styleId="1">
    <w:name w:val="heading 1"/>
    <w:basedOn w:val="a"/>
    <w:next w:val="a"/>
    <w:link w:val="10"/>
    <w:qFormat/>
    <w:rsid w:val="00E210A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3735"/>
    <w:pPr>
      <w:spacing w:after="0" w:line="240" w:lineRule="auto"/>
    </w:pPr>
    <w:rPr>
      <w:rFonts w:ascii="Calibri" w:eastAsia="Calibri" w:hAnsi="Calibri" w:cs="Calibri"/>
      <w:sz w:val="20"/>
      <w:szCs w:val="20"/>
    </w:rPr>
  </w:style>
  <w:style w:type="table" w:customStyle="1" w:styleId="12">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5">
    <w:name w:val="Звичайний1"/>
    <w:rsid w:val="00857DC1"/>
    <w:pPr>
      <w:spacing w:after="0" w:line="240" w:lineRule="auto"/>
    </w:pPr>
    <w:rPr>
      <w:rFonts w:ascii="Calibri" w:eastAsia="Calibri" w:hAnsi="Calibri" w:cs="Calibri"/>
      <w:sz w:val="20"/>
      <w:szCs w:val="20"/>
    </w:rPr>
  </w:style>
  <w:style w:type="character" w:customStyle="1" w:styleId="10">
    <w:name w:val="Заголовок 1 Знак"/>
    <w:basedOn w:val="a0"/>
    <w:link w:val="1"/>
    <w:rsid w:val="00E210A0"/>
    <w:rPr>
      <w:rFonts w:ascii="Times New Roman" w:eastAsia="Times New Roman" w:hAnsi="Times New Roman" w:cs="Times New Roman"/>
      <w:sz w:val="24"/>
      <w:szCs w:val="20"/>
    </w:rPr>
  </w:style>
  <w:style w:type="paragraph" w:customStyle="1" w:styleId="normal">
    <w:name w:val="normal"/>
    <w:rsid w:val="00074F7F"/>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282-FC56-4892-B80A-96C6CA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37073</Words>
  <Characters>21133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2023-08-29T18:19:00Z</dcterms:created>
  <dcterms:modified xsi:type="dcterms:W3CDTF">2024-03-05T07:44:00Z</dcterms:modified>
</cp:coreProperties>
</file>