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37445A" w:rsidRPr="00AA7772" w:rsidRDefault="0037445A" w:rsidP="0037445A">
          <w:pPr>
            <w:spacing w:after="0" w:line="240" w:lineRule="auto"/>
            <w:ind w:left="4111"/>
            <w:rPr>
              <w:rFonts w:ascii="Times New Roman" w:hAnsi="Times New Roman" w:cs="Times New Roman"/>
              <w:b/>
              <w:sz w:val="28"/>
              <w:szCs w:val="28"/>
              <w:lang w:val="ru-RU"/>
            </w:rPr>
          </w:pPr>
          <w:r w:rsidRPr="00AA7772">
            <w:rPr>
              <w:rFonts w:ascii="Times New Roman" w:hAnsi="Times New Roman" w:cs="Times New Roman"/>
              <w:b/>
              <w:sz w:val="28"/>
              <w:szCs w:val="28"/>
              <w:lang w:val="ru-RU"/>
            </w:rPr>
            <w:t>ЗАТВЕРДЖЕНО</w:t>
          </w: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proofErr w:type="gramStart"/>
          <w:r w:rsidRPr="004F334C">
            <w:rPr>
              <w:rFonts w:ascii="Times New Roman" w:hAnsi="Times New Roman" w:cs="Times New Roman"/>
              <w:color w:val="000000"/>
              <w:sz w:val="28"/>
              <w:szCs w:val="28"/>
              <w:lang w:val="ru-RU"/>
            </w:rPr>
            <w:t>р</w:t>
          </w:r>
          <w:proofErr w:type="gramEnd"/>
          <w:r w:rsidRPr="004F334C">
            <w:rPr>
              <w:rFonts w:ascii="Times New Roman" w:hAnsi="Times New Roman" w:cs="Times New Roman"/>
              <w:color w:val="000000"/>
              <w:sz w:val="28"/>
              <w:szCs w:val="28"/>
              <w:lang w:val="ru-RU"/>
            </w:rPr>
            <w:t xml:space="preserve">ішенням уповноваженої особи </w:t>
          </w:r>
          <w:r w:rsidRPr="004F334C">
            <w:rPr>
              <w:rFonts w:ascii="Times New Roman" w:hAnsi="Times New Roman" w:cs="Times New Roman"/>
              <w:color w:val="000000"/>
              <w:sz w:val="28"/>
              <w:szCs w:val="28"/>
              <w:lang w:val="ru-RU"/>
            </w:rPr>
            <w:br/>
            <w:t>від «_</w:t>
          </w:r>
          <w:r w:rsidR="004F334C" w:rsidRPr="004F334C">
            <w:rPr>
              <w:rFonts w:ascii="Times New Roman" w:hAnsi="Times New Roman" w:cs="Times New Roman"/>
              <w:color w:val="000000"/>
              <w:sz w:val="28"/>
              <w:szCs w:val="28"/>
              <w:lang w:val="ru-RU"/>
            </w:rPr>
            <w:t>21</w:t>
          </w:r>
          <w:r w:rsidRPr="004F334C">
            <w:rPr>
              <w:rFonts w:ascii="Times New Roman" w:hAnsi="Times New Roman" w:cs="Times New Roman"/>
              <w:color w:val="000000"/>
              <w:sz w:val="28"/>
              <w:szCs w:val="28"/>
              <w:lang w:val="ru-RU"/>
            </w:rPr>
            <w:t>_» листопада  2023</w:t>
          </w:r>
          <w:r w:rsidRPr="004F334C">
            <w:rPr>
              <w:rFonts w:ascii="Times New Roman" w:hAnsi="Times New Roman" w:cs="Times New Roman"/>
              <w:color w:val="000000"/>
              <w:sz w:val="28"/>
              <w:szCs w:val="28"/>
            </w:rPr>
            <w:t> </w:t>
          </w:r>
          <w:r w:rsidRPr="004F334C">
            <w:rPr>
              <w:rFonts w:ascii="Times New Roman" w:hAnsi="Times New Roman" w:cs="Times New Roman"/>
              <w:color w:val="000000"/>
              <w:sz w:val="28"/>
              <w:szCs w:val="28"/>
              <w:lang w:val="ru-RU"/>
            </w:rPr>
            <w:t>року № _1</w:t>
          </w:r>
          <w:r w:rsidR="004F334C" w:rsidRPr="004F334C">
            <w:rPr>
              <w:rFonts w:ascii="Times New Roman" w:hAnsi="Times New Roman" w:cs="Times New Roman"/>
              <w:color w:val="000000"/>
              <w:sz w:val="28"/>
              <w:szCs w:val="28"/>
              <w:lang w:val="ru-RU"/>
            </w:rPr>
            <w:t>30</w:t>
          </w:r>
          <w:r w:rsidRPr="004F334C">
            <w:rPr>
              <w:rFonts w:ascii="Times New Roman" w:hAnsi="Times New Roman" w:cs="Times New Roman"/>
              <w:color w:val="000000"/>
              <w:sz w:val="28"/>
              <w:szCs w:val="28"/>
              <w:lang w:val="ru-RU"/>
            </w:rPr>
            <w:t>_</w:t>
          </w: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820"/>
            <w:rPr>
              <w:rFonts w:ascii="Times New Roman" w:hAnsi="Times New Roman" w:cs="Times New Roman"/>
              <w:sz w:val="28"/>
              <w:szCs w:val="28"/>
              <w:lang w:val="ru-RU"/>
            </w:rPr>
          </w:pPr>
          <w:r w:rsidRPr="00AA7772">
            <w:rPr>
              <w:rFonts w:ascii="Times New Roman" w:hAnsi="Times New Roman" w:cs="Times New Roman"/>
              <w:color w:val="000000"/>
              <w:sz w:val="28"/>
              <w:szCs w:val="28"/>
              <w:lang w:val="ru-RU"/>
            </w:rPr>
            <w:t xml:space="preserve">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 xml:space="preserve">Головний державний інспектор, </w:t>
          </w:r>
        </w:p>
        <w:p w:rsidR="0037445A" w:rsidRPr="00AA7772" w:rsidRDefault="0037445A" w:rsidP="0037445A">
          <w:pPr>
            <w:spacing w:after="0" w:line="240" w:lineRule="auto"/>
            <w:ind w:left="4111"/>
            <w:rPr>
              <w:rFonts w:ascii="Times New Roman" w:hAnsi="Times New Roman" w:cs="Times New Roman"/>
              <w:sz w:val="28"/>
              <w:szCs w:val="28"/>
              <w:lang w:val="ru-RU"/>
            </w:rPr>
          </w:pPr>
          <w:r w:rsidRPr="00AA7772">
            <w:rPr>
              <w:rFonts w:ascii="Times New Roman" w:hAnsi="Times New Roman" w:cs="Times New Roman"/>
              <w:sz w:val="28"/>
              <w:szCs w:val="28"/>
              <w:lang w:val="ru-RU"/>
            </w:rPr>
            <w:t>уповноважена особа Запорізької митниці</w:t>
          </w:r>
        </w:p>
        <w:p w:rsidR="0037445A" w:rsidRPr="00AA7772" w:rsidRDefault="0037445A" w:rsidP="0037445A">
          <w:pPr>
            <w:spacing w:after="0" w:line="240" w:lineRule="auto"/>
            <w:ind w:left="4111"/>
            <w:rPr>
              <w:rFonts w:ascii="Times New Roman" w:hAnsi="Times New Roman" w:cs="Times New Roman"/>
              <w:sz w:val="28"/>
              <w:szCs w:val="28"/>
              <w:lang w:val="ru-RU"/>
            </w:rPr>
          </w:pPr>
        </w:p>
        <w:p w:rsidR="0037445A" w:rsidRPr="00AA7772" w:rsidRDefault="0037445A" w:rsidP="0037445A">
          <w:pPr>
            <w:spacing w:after="0" w:line="240" w:lineRule="auto"/>
            <w:ind w:left="4111"/>
            <w:rPr>
              <w:rFonts w:ascii="Times New Roman" w:hAnsi="Times New Roman" w:cs="Times New Roman"/>
              <w:color w:val="000000"/>
              <w:sz w:val="28"/>
              <w:szCs w:val="28"/>
              <w:lang w:val="ru-RU"/>
            </w:rPr>
          </w:pPr>
          <w:r w:rsidRPr="00AA7772">
            <w:rPr>
              <w:rFonts w:ascii="Times New Roman" w:hAnsi="Times New Roman" w:cs="Times New Roman"/>
              <w:sz w:val="28"/>
              <w:szCs w:val="28"/>
              <w:lang w:val="ru-RU"/>
            </w:rPr>
            <w:t xml:space="preserve">__________ </w:t>
          </w:r>
          <w:r w:rsidRPr="00AA7772">
            <w:rPr>
              <w:rFonts w:ascii="Times New Roman" w:hAnsi="Times New Roman" w:cs="Times New Roman"/>
              <w:sz w:val="28"/>
              <w:szCs w:val="28"/>
              <w:lang w:val="uk-UA"/>
            </w:rPr>
            <w:t>Олександра СКОМАРОХА</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E03DBC" w:rsidRDefault="00CA6B71" w:rsidP="00A07C8D">
          <w:pPr>
            <w:spacing w:after="0" w:line="240" w:lineRule="auto"/>
            <w:jc w:val="center"/>
            <w:rPr>
              <w:rFonts w:ascii="Times New Roman" w:hAnsi="Times New Roman" w:cs="Times New Roman"/>
              <w:bCs/>
              <w:sz w:val="28"/>
              <w:szCs w:val="28"/>
              <w:lang w:val="ru-RU"/>
            </w:rPr>
          </w:pPr>
        </w:p>
        <w:p w:rsidR="00E03DBC" w:rsidRPr="00A05915" w:rsidRDefault="00A05915" w:rsidP="00CA6B71">
          <w:pPr>
            <w:spacing w:after="0" w:line="240" w:lineRule="auto"/>
            <w:jc w:val="center"/>
            <w:rPr>
              <w:rFonts w:ascii="Times New Roman" w:eastAsia="Calibri" w:hAnsi="Times New Roman" w:cs="Times New Roman"/>
              <w:b/>
              <w:sz w:val="28"/>
              <w:szCs w:val="28"/>
              <w:lang w:val="ru-RU" w:eastAsia="ar-SA"/>
            </w:rPr>
          </w:pPr>
          <w:r w:rsidRPr="00A05915">
            <w:rPr>
              <w:rFonts w:ascii="Times New Roman" w:hAnsi="Times New Roman" w:cs="Times New Roman"/>
              <w:b/>
              <w:sz w:val="28"/>
              <w:szCs w:val="28"/>
              <w:lang w:val="ru-RU"/>
            </w:rPr>
            <w:t>ДК 021:2015 (С</w:t>
          </w:r>
          <w:r w:rsidRPr="00A05915">
            <w:rPr>
              <w:rFonts w:ascii="Times New Roman" w:hAnsi="Times New Roman" w:cs="Times New Roman"/>
              <w:b/>
              <w:sz w:val="28"/>
              <w:szCs w:val="28"/>
            </w:rPr>
            <w:t>PV</w:t>
          </w:r>
          <w:r w:rsidRPr="00A05915">
            <w:rPr>
              <w:rFonts w:ascii="Times New Roman" w:hAnsi="Times New Roman" w:cs="Times New Roman"/>
              <w:b/>
              <w:sz w:val="28"/>
              <w:szCs w:val="28"/>
              <w:lang w:val="ru-RU"/>
            </w:rPr>
            <w:t xml:space="preserve">): </w:t>
          </w:r>
          <w:r w:rsidRPr="00A05915">
            <w:rPr>
              <w:rFonts w:ascii="Times New Roman" w:hAnsi="Times New Roman" w:cs="Times New Roman"/>
              <w:b/>
              <w:sz w:val="28"/>
              <w:szCs w:val="28"/>
              <w:shd w:val="clear" w:color="auto" w:fill="FFFFFF"/>
              <w:lang w:val="ru-RU"/>
            </w:rPr>
            <w:t xml:space="preserve">50320000-4 Послуги з ремонту і </w:t>
          </w:r>
          <w:proofErr w:type="gramStart"/>
          <w:r w:rsidRPr="00A05915">
            <w:rPr>
              <w:rFonts w:ascii="Times New Roman" w:hAnsi="Times New Roman" w:cs="Times New Roman"/>
              <w:b/>
              <w:sz w:val="28"/>
              <w:szCs w:val="28"/>
              <w:shd w:val="clear" w:color="auto" w:fill="FFFFFF"/>
              <w:lang w:val="ru-RU"/>
            </w:rPr>
            <w:t>техн</w:t>
          </w:r>
          <w:proofErr w:type="gramEnd"/>
          <w:r w:rsidRPr="00A05915">
            <w:rPr>
              <w:rFonts w:ascii="Times New Roman" w:hAnsi="Times New Roman" w:cs="Times New Roman"/>
              <w:b/>
              <w:sz w:val="28"/>
              <w:szCs w:val="28"/>
              <w:shd w:val="clear" w:color="auto" w:fill="FFFFFF"/>
              <w:lang w:val="ru-RU"/>
            </w:rPr>
            <w:t xml:space="preserve">ічного обслуговування персональних комп’ютерів </w:t>
          </w:r>
          <w:r w:rsidRPr="00A05915">
            <w:rPr>
              <w:rFonts w:ascii="Times New Roman" w:hAnsi="Times New Roman" w:cs="Times New Roman"/>
              <w:b/>
              <w:sz w:val="28"/>
              <w:szCs w:val="28"/>
              <w:lang w:val="ru-RU"/>
            </w:rPr>
            <w:t xml:space="preserve">(Послуги з поточного ремонту та обслуговування </w:t>
          </w:r>
          <w:r w:rsidRPr="00A05915">
            <w:rPr>
              <w:rFonts w:ascii="Times New Roman" w:hAnsi="Times New Roman" w:cs="Times New Roman"/>
              <w:b/>
              <w:sz w:val="28"/>
              <w:szCs w:val="28"/>
              <w:shd w:val="clear" w:color="auto" w:fill="FFFFFF"/>
              <w:lang w:val="ru-RU"/>
            </w:rPr>
            <w:t>комп’ютерної техніки</w:t>
          </w:r>
          <w:r w:rsidRPr="00A05915">
            <w:rPr>
              <w:rFonts w:ascii="Times New Roman" w:hAnsi="Times New Roman" w:cs="Times New Roman"/>
              <w:b/>
              <w:sz w:val="28"/>
              <w:szCs w:val="28"/>
              <w:lang w:val="ru-RU"/>
            </w:rPr>
            <w:t xml:space="preserve"> (Послуги з ремонту джерел безперебійного живлення))</w:t>
          </w:r>
        </w:p>
        <w:p w:rsidR="006A5A8F" w:rsidRDefault="006A5A8F" w:rsidP="00CA6B71">
          <w:pPr>
            <w:spacing w:after="0" w:line="240" w:lineRule="auto"/>
            <w:jc w:val="center"/>
            <w:rPr>
              <w:rFonts w:ascii="Times New Roman" w:eastAsia="Calibri" w:hAnsi="Times New Roman" w:cs="Times New Roman"/>
              <w:b/>
              <w:sz w:val="28"/>
              <w:szCs w:val="28"/>
              <w:lang w:val="ru-RU" w:eastAsia="ar-SA"/>
            </w:rPr>
          </w:pPr>
        </w:p>
        <w:p w:rsidR="00A05915" w:rsidRPr="0012061A" w:rsidRDefault="00A05915"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E03DBC" w:rsidRPr="0012061A" w:rsidRDefault="00E03DBC"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A6E21" w:rsidRDefault="007A6E2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4F334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4F334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будинок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4F334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4F334C" w:rsidRDefault="003D08DF"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D93344">
              <w:rPr>
                <w:rFonts w:ascii="Times New Roman" w:hAnsi="Times New Roman" w:cs="Times New Roman"/>
                <w:color w:val="auto"/>
                <w:sz w:val="24"/>
                <w:szCs w:val="24"/>
                <w:lang w:val="uk-UA"/>
              </w:rPr>
              <w:t>Скомароха Олександра Миколаївна</w:t>
            </w:r>
            <w:r w:rsidR="00CA6B71" w:rsidRPr="00D93344">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D93344">
              <w:rPr>
                <w:rFonts w:ascii="Times New Roman" w:hAnsi="Times New Roman" w:cs="Times New Roman"/>
                <w:color w:val="auto"/>
                <w:sz w:val="24"/>
                <w:szCs w:val="24"/>
                <w:lang w:val="uk-UA"/>
              </w:rPr>
              <w:t>,</w:t>
            </w:r>
            <w:r w:rsidR="00CA6B71" w:rsidRPr="00D93344">
              <w:rPr>
                <w:rFonts w:ascii="Times New Roman" w:hAnsi="Times New Roman" w:cs="Times New Roman"/>
                <w:color w:val="auto"/>
                <w:sz w:val="24"/>
                <w:szCs w:val="24"/>
                <w:lang w:val="uk-UA"/>
              </w:rPr>
              <w:t xml:space="preserve"> (0</w:t>
            </w:r>
            <w:r w:rsidR="00F255AE" w:rsidRPr="00D93344">
              <w:rPr>
                <w:rFonts w:ascii="Times New Roman" w:hAnsi="Times New Roman" w:cs="Times New Roman"/>
                <w:color w:val="auto"/>
                <w:sz w:val="24"/>
                <w:szCs w:val="24"/>
              </w:rPr>
              <w:t>9</w:t>
            </w:r>
            <w:r w:rsidRPr="00D93344">
              <w:rPr>
                <w:rFonts w:ascii="Times New Roman" w:hAnsi="Times New Roman" w:cs="Times New Roman"/>
                <w:color w:val="auto"/>
                <w:sz w:val="24"/>
                <w:szCs w:val="24"/>
                <w:lang w:val="uk-UA"/>
              </w:rPr>
              <w:t>5</w:t>
            </w:r>
            <w:r w:rsidR="00CA6B71" w:rsidRPr="00D93344">
              <w:rPr>
                <w:rFonts w:ascii="Times New Roman" w:hAnsi="Times New Roman" w:cs="Times New Roman"/>
                <w:color w:val="auto"/>
                <w:sz w:val="24"/>
                <w:szCs w:val="24"/>
                <w:lang w:val="uk-UA"/>
              </w:rPr>
              <w:t xml:space="preserve">) </w:t>
            </w:r>
            <w:r w:rsidRPr="00D93344">
              <w:rPr>
                <w:rFonts w:ascii="Times New Roman" w:hAnsi="Times New Roman" w:cs="Times New Roman"/>
                <w:color w:val="auto"/>
                <w:sz w:val="24"/>
                <w:szCs w:val="24"/>
                <w:lang w:val="uk-UA"/>
              </w:rPr>
              <w:t>493-87-41,</w:t>
            </w:r>
          </w:p>
          <w:p w:rsidR="00A07C7B" w:rsidRDefault="00CA6B71" w:rsidP="00B442EF">
            <w:pPr>
              <w:pStyle w:val="1"/>
              <w:widowControl w:val="0"/>
              <w:pBdr>
                <w:top w:val="nil"/>
                <w:left w:val="nil"/>
                <w:bottom w:val="nil"/>
                <w:right w:val="nil"/>
                <w:between w:val="nil"/>
              </w:pBdr>
              <w:spacing w:line="240" w:lineRule="auto"/>
              <w:rPr>
                <w:rStyle w:val="a6"/>
                <w:rFonts w:ascii="Times New Roman" w:eastAsia="Batang" w:hAnsi="Times New Roman" w:cs="Times New Roman"/>
                <w:color w:val="auto"/>
                <w:sz w:val="24"/>
                <w:szCs w:val="24"/>
                <w:lang w:val="uk-UA"/>
              </w:rPr>
            </w:pPr>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4F334C">
              <w:rPr>
                <w:rStyle w:val="a6"/>
                <w:rFonts w:ascii="Times New Roman" w:eastAsia="Batang" w:hAnsi="Times New Roman" w:cs="Times New Roman"/>
                <w:color w:val="auto"/>
                <w:sz w:val="24"/>
                <w:szCs w:val="24"/>
                <w:lang w:val="uk-UA"/>
              </w:rPr>
              <w:t>;</w:t>
            </w:r>
          </w:p>
          <w:p w:rsidR="004F334C" w:rsidRPr="004F334C" w:rsidRDefault="004F334C" w:rsidP="004F334C">
            <w:pPr>
              <w:widowControl w:val="0"/>
              <w:tabs>
                <w:tab w:val="left" w:pos="0"/>
              </w:tabs>
              <w:spacing w:line="240" w:lineRule="auto"/>
              <w:rPr>
                <w:rFonts w:ascii="Times New Roman" w:hAnsi="Times New Roman" w:cs="Times New Roman"/>
                <w:sz w:val="24"/>
                <w:szCs w:val="24"/>
                <w:lang w:val="ru-RU"/>
              </w:rPr>
            </w:pPr>
            <w:r w:rsidRPr="004F334C">
              <w:rPr>
                <w:rFonts w:ascii="Times New Roman" w:hAnsi="Times New Roman" w:cs="Times New Roman"/>
                <w:sz w:val="24"/>
                <w:szCs w:val="24"/>
                <w:lang w:val="ru-RU"/>
              </w:rPr>
              <w:t xml:space="preserve">Щодо </w:t>
            </w:r>
            <w:proofErr w:type="gramStart"/>
            <w:r w:rsidRPr="004F334C">
              <w:rPr>
                <w:rFonts w:ascii="Times New Roman" w:hAnsi="Times New Roman" w:cs="Times New Roman"/>
                <w:sz w:val="24"/>
                <w:szCs w:val="24"/>
                <w:lang w:val="ru-RU"/>
              </w:rPr>
              <w:t>техн</w:t>
            </w:r>
            <w:proofErr w:type="gramEnd"/>
            <w:r w:rsidRPr="004F334C">
              <w:rPr>
                <w:rFonts w:ascii="Times New Roman" w:hAnsi="Times New Roman" w:cs="Times New Roman"/>
                <w:sz w:val="24"/>
                <w:szCs w:val="24"/>
                <w:lang w:val="ru-RU"/>
              </w:rPr>
              <w:t>ічним питань - Манишев Сергій, начальник відділу митних інформаційних технологій, (067)</w:t>
            </w:r>
            <w:r w:rsidRPr="004F334C">
              <w:rPr>
                <w:rFonts w:ascii="Times New Roman" w:hAnsi="Times New Roman" w:cs="Times New Roman"/>
                <w:sz w:val="24"/>
                <w:szCs w:val="24"/>
              </w:rPr>
              <w:t> </w:t>
            </w:r>
            <w:r w:rsidRPr="004F334C">
              <w:rPr>
                <w:rFonts w:ascii="Times New Roman" w:hAnsi="Times New Roman" w:cs="Times New Roman"/>
                <w:sz w:val="24"/>
                <w:szCs w:val="24"/>
                <w:lang w:val="ru-RU"/>
              </w:rPr>
              <w:t xml:space="preserve">243-09-87, </w:t>
            </w:r>
            <w:r w:rsidRPr="004F334C">
              <w:rPr>
                <w:rFonts w:ascii="Times New Roman" w:hAnsi="Times New Roman" w:cs="Times New Roman"/>
                <w:sz w:val="24"/>
                <w:szCs w:val="24"/>
              </w:rPr>
              <w:t>e</w:t>
            </w:r>
            <w:r w:rsidRPr="004F334C">
              <w:rPr>
                <w:rFonts w:ascii="Times New Roman" w:hAnsi="Times New Roman" w:cs="Times New Roman"/>
                <w:sz w:val="24"/>
                <w:szCs w:val="24"/>
                <w:lang w:val="ru-RU"/>
              </w:rPr>
              <w:t>-</w:t>
            </w:r>
            <w:r w:rsidRPr="004F334C">
              <w:rPr>
                <w:rFonts w:ascii="Times New Roman" w:hAnsi="Times New Roman" w:cs="Times New Roman"/>
                <w:sz w:val="24"/>
                <w:szCs w:val="24"/>
              </w:rPr>
              <w:t>mail</w:t>
            </w:r>
            <w:r w:rsidRPr="004F334C">
              <w:rPr>
                <w:rFonts w:ascii="Times New Roman" w:hAnsi="Times New Roman" w:cs="Times New Roman"/>
                <w:sz w:val="24"/>
                <w:szCs w:val="24"/>
                <w:lang w:val="ru-RU"/>
              </w:rPr>
              <w:t xml:space="preserve">: </w:t>
            </w:r>
            <w:hyperlink r:id="rId10" w:history="1">
              <w:r w:rsidRPr="004F334C">
                <w:rPr>
                  <w:rStyle w:val="a6"/>
                  <w:rFonts w:ascii="Times New Roman" w:eastAsia="Batang" w:hAnsi="Times New Roman" w:cs="Times New Roman"/>
                  <w:color w:val="auto"/>
                  <w:sz w:val="24"/>
                  <w:szCs w:val="24"/>
                </w:rPr>
                <w:t>zp</w:t>
              </w:r>
              <w:r w:rsidRPr="004F334C">
                <w:rPr>
                  <w:rStyle w:val="a6"/>
                  <w:rFonts w:ascii="Times New Roman" w:eastAsia="Batang" w:hAnsi="Times New Roman" w:cs="Times New Roman"/>
                  <w:color w:val="auto"/>
                  <w:sz w:val="24"/>
                  <w:szCs w:val="24"/>
                  <w:lang w:val="ru-RU"/>
                </w:rPr>
                <w:t>.</w:t>
              </w:r>
              <w:r w:rsidRPr="004F334C">
                <w:rPr>
                  <w:rStyle w:val="a6"/>
                  <w:rFonts w:ascii="Times New Roman" w:eastAsia="Batang" w:hAnsi="Times New Roman" w:cs="Times New Roman"/>
                  <w:color w:val="auto"/>
                  <w:sz w:val="24"/>
                  <w:szCs w:val="24"/>
                </w:rPr>
                <w:t>it</w:t>
              </w:r>
              <w:r w:rsidRPr="004F334C">
                <w:rPr>
                  <w:rStyle w:val="a6"/>
                  <w:rFonts w:ascii="Times New Roman" w:eastAsia="Batang" w:hAnsi="Times New Roman" w:cs="Times New Roman"/>
                  <w:color w:val="auto"/>
                  <w:sz w:val="24"/>
                  <w:szCs w:val="24"/>
                  <w:lang w:val="ru-RU"/>
                </w:rPr>
                <w:t>@</w:t>
              </w:r>
              <w:r w:rsidRPr="004F334C">
                <w:rPr>
                  <w:rStyle w:val="a6"/>
                  <w:rFonts w:ascii="Times New Roman" w:eastAsia="Batang" w:hAnsi="Times New Roman" w:cs="Times New Roman"/>
                  <w:color w:val="auto"/>
                  <w:sz w:val="24"/>
                  <w:szCs w:val="24"/>
                </w:rPr>
                <w:t>customs</w:t>
              </w:r>
              <w:r w:rsidRPr="004F334C">
                <w:rPr>
                  <w:rStyle w:val="a6"/>
                  <w:rFonts w:ascii="Times New Roman" w:eastAsia="Batang" w:hAnsi="Times New Roman" w:cs="Times New Roman"/>
                  <w:color w:val="auto"/>
                  <w:sz w:val="24"/>
                  <w:szCs w:val="24"/>
                  <w:lang w:val="ru-RU"/>
                </w:rPr>
                <w:t>.</w:t>
              </w:r>
              <w:r w:rsidRPr="004F334C">
                <w:rPr>
                  <w:rStyle w:val="a6"/>
                  <w:rFonts w:ascii="Times New Roman" w:eastAsia="Batang" w:hAnsi="Times New Roman" w:cs="Times New Roman"/>
                  <w:color w:val="auto"/>
                  <w:sz w:val="24"/>
                  <w:szCs w:val="24"/>
                </w:rPr>
                <w:t>gov</w:t>
              </w:r>
              <w:r w:rsidRPr="004F334C">
                <w:rPr>
                  <w:rStyle w:val="a6"/>
                  <w:rFonts w:ascii="Times New Roman" w:eastAsia="Batang" w:hAnsi="Times New Roman" w:cs="Times New Roman"/>
                  <w:color w:val="auto"/>
                  <w:sz w:val="24"/>
                  <w:szCs w:val="24"/>
                  <w:lang w:val="ru-RU"/>
                </w:rPr>
                <w:t>.</w:t>
              </w:r>
              <w:r w:rsidRPr="004F334C">
                <w:rPr>
                  <w:rStyle w:val="a6"/>
                  <w:rFonts w:ascii="Times New Roman" w:eastAsia="Batang" w:hAnsi="Times New Roman" w:cs="Times New Roman"/>
                  <w:color w:val="auto"/>
                  <w:sz w:val="24"/>
                  <w:szCs w:val="24"/>
                </w:rPr>
                <w:t>ua</w:t>
              </w:r>
            </w:hyperlink>
            <w:r w:rsidRPr="004F334C">
              <w:rPr>
                <w:rFonts w:ascii="Times New Roman" w:hAnsi="Times New Roman" w:cs="Times New Roman"/>
                <w:sz w:val="24"/>
                <w:szCs w:val="24"/>
                <w:lang w:val="ru-RU"/>
              </w:rPr>
              <w:t>.</w:t>
            </w:r>
          </w:p>
        </w:tc>
      </w:tr>
      <w:tr w:rsidR="00294859" w:rsidRPr="004F334C"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4F334C"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E76A56"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76A56">
              <w:rPr>
                <w:rFonts w:ascii="Times New Roman" w:eastAsia="Times New Roman" w:hAnsi="Times New Roman" w:cs="Times New Roman"/>
                <w:color w:val="000000"/>
                <w:sz w:val="24"/>
                <w:szCs w:val="24"/>
                <w:lang w:val="uk-UA"/>
              </w:rPr>
              <w:t>назва предмета закупівлі</w:t>
            </w:r>
          </w:p>
        </w:tc>
        <w:tc>
          <w:tcPr>
            <w:tcW w:w="5738" w:type="dxa"/>
          </w:tcPr>
          <w:p w:rsidR="00A05915" w:rsidRDefault="00A05915" w:rsidP="003C264E">
            <w:pPr>
              <w:spacing w:after="0" w:line="240" w:lineRule="auto"/>
              <w:rPr>
                <w:rFonts w:ascii="Times New Roman" w:hAnsi="Times New Roman" w:cs="Times New Roman"/>
                <w:b/>
                <w:sz w:val="24"/>
                <w:szCs w:val="24"/>
                <w:lang w:val="uk-UA"/>
              </w:rPr>
            </w:pPr>
            <w:r w:rsidRPr="00A05915">
              <w:rPr>
                <w:rFonts w:ascii="Times New Roman" w:hAnsi="Times New Roman" w:cs="Times New Roman"/>
                <w:b/>
                <w:sz w:val="24"/>
                <w:szCs w:val="24"/>
                <w:lang w:val="uk-UA"/>
              </w:rPr>
              <w:t>ДК 021:2015 (С</w:t>
            </w:r>
            <w:r w:rsidRPr="00F30056">
              <w:rPr>
                <w:rFonts w:ascii="Times New Roman" w:hAnsi="Times New Roman" w:cs="Times New Roman"/>
                <w:b/>
                <w:sz w:val="24"/>
                <w:szCs w:val="24"/>
              </w:rPr>
              <w:t>PV</w:t>
            </w:r>
            <w:r w:rsidRPr="00A05915">
              <w:rPr>
                <w:rFonts w:ascii="Times New Roman" w:hAnsi="Times New Roman" w:cs="Times New Roman"/>
                <w:b/>
                <w:sz w:val="24"/>
                <w:szCs w:val="24"/>
                <w:lang w:val="uk-UA"/>
              </w:rPr>
              <w:t xml:space="preserve">): </w:t>
            </w:r>
            <w:r w:rsidRPr="00A05915">
              <w:rPr>
                <w:rFonts w:ascii="Times New Roman" w:hAnsi="Times New Roman" w:cs="Times New Roman"/>
                <w:b/>
                <w:sz w:val="24"/>
                <w:szCs w:val="24"/>
                <w:shd w:val="clear" w:color="auto" w:fill="FFFFFF"/>
                <w:lang w:val="uk-UA"/>
              </w:rPr>
              <w:t xml:space="preserve">50320000-4 Послуги з ремонту і технічного обслуговування персональних комп’ютерів </w:t>
            </w:r>
            <w:r w:rsidRPr="00A05915">
              <w:rPr>
                <w:rFonts w:ascii="Times New Roman" w:hAnsi="Times New Roman" w:cs="Times New Roman"/>
                <w:b/>
                <w:sz w:val="24"/>
                <w:szCs w:val="24"/>
                <w:lang w:val="uk-UA"/>
              </w:rPr>
              <w:t xml:space="preserve">(Послуги з поточного ремонту та обслуговування </w:t>
            </w:r>
            <w:r w:rsidRPr="00A05915">
              <w:rPr>
                <w:rFonts w:ascii="Times New Roman" w:hAnsi="Times New Roman" w:cs="Times New Roman"/>
                <w:b/>
                <w:sz w:val="24"/>
                <w:szCs w:val="24"/>
                <w:shd w:val="clear" w:color="auto" w:fill="FFFFFF"/>
                <w:lang w:val="uk-UA"/>
              </w:rPr>
              <w:t>комп’ютерної техніки</w:t>
            </w:r>
            <w:r w:rsidRPr="00A05915">
              <w:rPr>
                <w:rFonts w:ascii="Times New Roman" w:hAnsi="Times New Roman" w:cs="Times New Roman"/>
                <w:b/>
                <w:sz w:val="24"/>
                <w:szCs w:val="24"/>
                <w:lang w:val="uk-UA"/>
              </w:rPr>
              <w:t xml:space="preserve"> (Послуги з ремонту джерел безперебійного живлення)).</w:t>
            </w:r>
          </w:p>
          <w:p w:rsidR="00683157" w:rsidRPr="00A05915" w:rsidRDefault="00A07C8D" w:rsidP="003C264E">
            <w:pPr>
              <w:spacing w:after="0" w:line="240" w:lineRule="auto"/>
              <w:rPr>
                <w:rFonts w:ascii="Times New Roman" w:hAnsi="Times New Roman" w:cs="Times New Roman"/>
                <w:b/>
                <w:sz w:val="24"/>
                <w:szCs w:val="24"/>
                <w:lang w:val="uk-UA"/>
              </w:rPr>
            </w:pPr>
            <w:r w:rsidRPr="00A05915">
              <w:rPr>
                <w:rFonts w:ascii="Times New Roman" w:hAnsi="Times New Roman" w:cs="Times New Roman"/>
                <w:b/>
                <w:sz w:val="24"/>
                <w:szCs w:val="24"/>
                <w:lang w:val="uk-UA"/>
              </w:rPr>
              <w:t>Номенклатура: ДК 021:2015 (С</w:t>
            </w:r>
            <w:r w:rsidRPr="00697FD0">
              <w:rPr>
                <w:rFonts w:ascii="Times New Roman" w:hAnsi="Times New Roman" w:cs="Times New Roman"/>
                <w:b/>
                <w:sz w:val="24"/>
                <w:szCs w:val="24"/>
              </w:rPr>
              <w:t>PV</w:t>
            </w:r>
            <w:r w:rsidRPr="00A05915">
              <w:rPr>
                <w:rFonts w:ascii="Times New Roman" w:hAnsi="Times New Roman" w:cs="Times New Roman"/>
                <w:b/>
                <w:sz w:val="24"/>
                <w:szCs w:val="24"/>
                <w:lang w:val="uk-UA"/>
              </w:rPr>
              <w:t>):</w:t>
            </w:r>
            <w:r w:rsidRPr="00A05915">
              <w:rPr>
                <w:rFonts w:ascii="Times New Roman" w:hAnsi="Times New Roman" w:cs="Times New Roman"/>
                <w:b/>
                <w:sz w:val="24"/>
                <w:szCs w:val="24"/>
                <w:lang w:val="uk-UA" w:eastAsia="ar-SA"/>
              </w:rPr>
              <w:t xml:space="preserve"> </w:t>
            </w:r>
            <w:r w:rsidRPr="00A05915">
              <w:rPr>
                <w:rFonts w:ascii="Times New Roman" w:hAnsi="Times New Roman" w:cs="Times New Roman"/>
                <w:b/>
                <w:sz w:val="24"/>
                <w:szCs w:val="24"/>
                <w:shd w:val="clear" w:color="auto" w:fill="FFFFFF"/>
                <w:lang w:val="uk-UA"/>
              </w:rPr>
              <w:t>50323200-7 Ремонт комп’ютерних периферійних пристроїв.</w:t>
            </w:r>
          </w:p>
        </w:tc>
      </w:tr>
      <w:tr w:rsidR="00AD4CF9" w:rsidRPr="004F334C"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4F334C"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453F85" w:rsidRPr="00E03DBC" w:rsidRDefault="00F255AE" w:rsidP="00AA4CB9">
            <w:pPr>
              <w:widowControl w:val="0"/>
              <w:spacing w:after="0" w:line="240" w:lineRule="auto"/>
              <w:ind w:right="120"/>
              <w:contextualSpacing/>
              <w:jc w:val="both"/>
              <w:rPr>
                <w:rFonts w:ascii="Times New Roman" w:hAnsi="Times New Roman" w:cs="Times New Roman"/>
                <w:sz w:val="24"/>
                <w:szCs w:val="24"/>
                <w:lang w:val="ru-RU"/>
              </w:rPr>
            </w:pPr>
            <w:r w:rsidRPr="00D93344">
              <w:rPr>
                <w:rFonts w:ascii="Times New Roman" w:hAnsi="Times New Roman" w:cs="Times New Roman"/>
                <w:sz w:val="24"/>
                <w:szCs w:val="24"/>
                <w:lang w:val="ru-RU"/>
              </w:rPr>
              <w:t>вул. Сергія Синенка, будинок 12, м.</w:t>
            </w:r>
            <w:r w:rsidRPr="00D93344">
              <w:rPr>
                <w:rFonts w:ascii="Times New Roman" w:hAnsi="Times New Roman" w:cs="Times New Roman"/>
                <w:sz w:val="24"/>
                <w:szCs w:val="24"/>
              </w:rPr>
              <w:t> </w:t>
            </w:r>
            <w:r w:rsidRPr="00D93344">
              <w:rPr>
                <w:rFonts w:ascii="Times New Roman" w:hAnsi="Times New Roman" w:cs="Times New Roman"/>
                <w:sz w:val="24"/>
                <w:szCs w:val="24"/>
                <w:lang w:val="ru-RU"/>
              </w:rPr>
              <w:t>Запоріжжя, Запорізька область, Україна, 69041</w:t>
            </w:r>
            <w:r w:rsidR="00FD1C9E">
              <w:rPr>
                <w:rFonts w:ascii="Times New Roman" w:hAnsi="Times New Roman" w:cs="Times New Roman"/>
                <w:sz w:val="24"/>
                <w:szCs w:val="24"/>
                <w:lang w:val="ru-RU"/>
              </w:rPr>
              <w:t>.</w:t>
            </w:r>
          </w:p>
          <w:p w:rsidR="00AD4CF9" w:rsidRPr="00D93344" w:rsidRDefault="003D08DF" w:rsidP="006A5A8F">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D93344">
              <w:rPr>
                <w:rFonts w:ascii="Times New Roman" w:eastAsia="Times New Roman" w:hAnsi="Times New Roman" w:cs="Times New Roman"/>
                <w:sz w:val="24"/>
                <w:szCs w:val="24"/>
                <w:lang w:val="uk-UA"/>
              </w:rPr>
              <w:t xml:space="preserve">Кількість: </w:t>
            </w:r>
            <w:r w:rsidR="006A5A8F">
              <w:rPr>
                <w:rFonts w:ascii="Times New Roman" w:eastAsia="Times New Roman" w:hAnsi="Times New Roman" w:cs="Times New Roman"/>
                <w:color w:val="000000"/>
                <w:sz w:val="24"/>
                <w:szCs w:val="24"/>
                <w:lang w:val="uk-UA" w:eastAsia="uk-UA"/>
              </w:rPr>
              <w:t>4</w:t>
            </w:r>
            <w:r w:rsidR="002F09D8">
              <w:rPr>
                <w:rFonts w:ascii="Times New Roman" w:eastAsia="Times New Roman" w:hAnsi="Times New Roman" w:cs="Times New Roman"/>
                <w:color w:val="000000"/>
                <w:sz w:val="24"/>
                <w:szCs w:val="24"/>
                <w:lang w:val="uk-UA" w:eastAsia="uk-UA"/>
              </w:rPr>
              <w:t xml:space="preserve"> послуг</w:t>
            </w:r>
            <w:r w:rsidR="006A5A8F">
              <w:rPr>
                <w:rFonts w:ascii="Times New Roman" w:eastAsia="Times New Roman" w:hAnsi="Times New Roman" w:cs="Times New Roman"/>
                <w:color w:val="000000"/>
                <w:sz w:val="24"/>
                <w:szCs w:val="24"/>
                <w:lang w:val="uk-UA" w:eastAsia="uk-UA"/>
              </w:rPr>
              <w:t>и</w:t>
            </w:r>
            <w:r w:rsidR="00835BD7">
              <w:rPr>
                <w:rFonts w:ascii="Times New Roman" w:eastAsia="Times New Roman" w:hAnsi="Times New Roman" w:cs="Times New Roman"/>
                <w:color w:val="000000"/>
                <w:sz w:val="24"/>
                <w:szCs w:val="24"/>
                <w:lang w:val="uk-UA" w:eastAsia="uk-UA"/>
              </w:rPr>
              <w:t xml:space="preserve"> (згідно з переліком </w:t>
            </w:r>
            <w:r w:rsidR="006A5A8F">
              <w:rPr>
                <w:rFonts w:ascii="Times New Roman" w:eastAsia="Times New Roman" w:hAnsi="Times New Roman" w:cs="Times New Roman"/>
                <w:color w:val="000000"/>
                <w:sz w:val="24"/>
                <w:szCs w:val="24"/>
                <w:lang w:val="uk-UA" w:eastAsia="uk-UA"/>
              </w:rPr>
              <w:t xml:space="preserve">послуг </w:t>
            </w:r>
            <w:r w:rsidR="00A07C8D">
              <w:rPr>
                <w:rFonts w:ascii="Times New Roman" w:eastAsia="Times New Roman" w:hAnsi="Times New Roman" w:cs="Times New Roman"/>
                <w:color w:val="000000"/>
                <w:sz w:val="24"/>
                <w:szCs w:val="24"/>
                <w:lang w:val="uk-UA" w:eastAsia="uk-UA"/>
              </w:rPr>
              <w:t>у</w:t>
            </w:r>
            <w:r w:rsidR="00835BD7">
              <w:rPr>
                <w:rFonts w:ascii="Times New Roman" w:eastAsia="Times New Roman" w:hAnsi="Times New Roman" w:cs="Times New Roman"/>
                <w:color w:val="000000"/>
                <w:sz w:val="24"/>
                <w:szCs w:val="24"/>
                <w:lang w:val="uk-UA" w:eastAsia="uk-UA"/>
              </w:rPr>
              <w:t xml:space="preserve"> Додатку № 3 </w:t>
            </w:r>
            <w:r w:rsidR="00E03DBC">
              <w:rPr>
                <w:rFonts w:ascii="Times New Roman" w:eastAsia="Times New Roman" w:hAnsi="Times New Roman" w:cs="Times New Roman"/>
                <w:color w:val="000000"/>
                <w:sz w:val="24"/>
                <w:szCs w:val="24"/>
                <w:lang w:val="uk-UA" w:eastAsia="uk-UA"/>
              </w:rPr>
              <w:t>цієї</w:t>
            </w:r>
            <w:r w:rsidR="00835BD7">
              <w:rPr>
                <w:rFonts w:ascii="Times New Roman" w:eastAsia="Times New Roman" w:hAnsi="Times New Roman" w:cs="Times New Roman"/>
                <w:color w:val="000000"/>
                <w:sz w:val="24"/>
                <w:szCs w:val="24"/>
                <w:lang w:val="uk-UA" w:eastAsia="uk-UA"/>
              </w:rPr>
              <w:t xml:space="preserve"> тендерної документації)</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lastRenderedPageBreak/>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D4CF9" w:rsidRPr="00D93344" w:rsidRDefault="00AD4CF9" w:rsidP="00FD1C9E">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683157" w:rsidRPr="00D93344">
              <w:rPr>
                <w:rFonts w:ascii="Times New Roman" w:eastAsia="Times New Roman" w:hAnsi="Times New Roman" w:cs="Times New Roman"/>
                <w:sz w:val="24"/>
                <w:szCs w:val="24"/>
                <w:lang w:val="uk-UA"/>
              </w:rPr>
              <w:t>3</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4F334C"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4F334C"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4F334C"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w:t>
            </w:r>
            <w:r w:rsidRPr="00D93344">
              <w:rPr>
                <w:rFonts w:ascii="Times New Roman" w:eastAsia="Times New Roman" w:hAnsi="Times New Roman" w:cs="Times New Roman"/>
                <w:sz w:val="24"/>
                <w:szCs w:val="24"/>
                <w:lang w:val="ru-RU"/>
              </w:rPr>
              <w:lastRenderedPageBreak/>
              <w:t xml:space="preserve">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tc>
      </w:tr>
      <w:tr w:rsidR="00AD4CF9" w:rsidRPr="004F334C"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FE3AFA" w:rsidRPr="004F334C"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Усі звернення </w:t>
            </w:r>
            <w:proofErr w:type="gramStart"/>
            <w:r w:rsidRPr="00D93344">
              <w:rPr>
                <w:rFonts w:ascii="Times New Roman" w:eastAsia="Times New Roman" w:hAnsi="Times New Roman" w:cs="Times New Roman"/>
                <w:sz w:val="24"/>
                <w:szCs w:val="24"/>
                <w:highlight w:val="white"/>
                <w:lang w:val="ru-RU"/>
              </w:rPr>
              <w:t>за</w:t>
            </w:r>
            <w:proofErr w:type="gramEnd"/>
            <w:r w:rsidRPr="00D93344">
              <w:rPr>
                <w:rFonts w:ascii="Times New Roman" w:eastAsia="Times New Roman" w:hAnsi="Times New Roman" w:cs="Times New Roman"/>
                <w:sz w:val="24"/>
                <w:szCs w:val="24"/>
                <w:highlight w:val="white"/>
                <w:lang w:val="ru-RU"/>
              </w:rPr>
              <w:t xml:space="preserve"> </w:t>
            </w:r>
            <w:proofErr w:type="gramStart"/>
            <w:r w:rsidRPr="00D93344">
              <w:rPr>
                <w:rFonts w:ascii="Times New Roman" w:eastAsia="Times New Roman" w:hAnsi="Times New Roman" w:cs="Times New Roman"/>
                <w:sz w:val="24"/>
                <w:szCs w:val="24"/>
                <w:highlight w:val="white"/>
                <w:lang w:val="ru-RU"/>
              </w:rPr>
              <w:t>роз</w:t>
            </w:r>
            <w:proofErr w:type="gramEnd"/>
            <w:r w:rsidRPr="00D93344">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повинен </w:t>
            </w:r>
            <w:r w:rsidRPr="00D93344">
              <w:rPr>
                <w:rFonts w:ascii="Times New Roman" w:eastAsia="Times New Roman" w:hAnsi="Times New Roman" w:cs="Times New Roman"/>
                <w:b/>
                <w:i/>
                <w:sz w:val="24"/>
                <w:szCs w:val="24"/>
                <w:highlight w:val="white"/>
                <w:lang w:val="ru-RU"/>
              </w:rPr>
              <w:t>протягом трьох днів</w:t>
            </w:r>
            <w:r w:rsidRPr="00D93344">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D93344">
              <w:rPr>
                <w:rFonts w:ascii="Times New Roman" w:eastAsia="Times New Roman" w:hAnsi="Times New Roman" w:cs="Times New Roman"/>
                <w:sz w:val="24"/>
                <w:szCs w:val="24"/>
                <w:highlight w:val="white"/>
                <w:lang w:val="ru-RU"/>
              </w:rPr>
              <w:t>його 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p w:rsidR="00FE3AFA" w:rsidRPr="00D93344" w:rsidRDefault="00FE3AFA" w:rsidP="00FE3AFA">
            <w:pPr>
              <w:widowControl w:val="0"/>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344">
              <w:rPr>
                <w:rFonts w:ascii="Times New Roman" w:eastAsia="Times New Roman" w:hAnsi="Times New Roman" w:cs="Times New Roman"/>
                <w:b/>
                <w:i/>
                <w:sz w:val="24"/>
                <w:szCs w:val="24"/>
                <w:highlight w:val="white"/>
                <w:lang w:val="ru-RU"/>
              </w:rPr>
              <w:t>не менш як на чотири дні.</w:t>
            </w:r>
          </w:p>
        </w:tc>
      </w:tr>
      <w:tr w:rsidR="00FE3AFA" w:rsidRPr="004F334C"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FE3AFA" w:rsidRPr="00D93344" w:rsidRDefault="00FE3AFA" w:rsidP="00FE3AFA">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D93344">
                <w:rPr>
                  <w:rFonts w:ascii="Times New Roman" w:eastAsia="Times New Roman" w:hAnsi="Times New Roman" w:cs="Times New Roman"/>
                  <w:sz w:val="24"/>
                  <w:szCs w:val="24"/>
                  <w:highlight w:val="white"/>
                  <w:lang w:val="ru-RU"/>
                </w:rPr>
                <w:t>статті 8</w:t>
              </w:r>
            </w:hyperlink>
            <w:r w:rsidRPr="00D93344">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D93344">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D93344">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D93344">
              <w:rPr>
                <w:rFonts w:ascii="Times New Roman" w:eastAsia="Times New Roman" w:hAnsi="Times New Roman" w:cs="Times New Roman"/>
                <w:b/>
                <w:i/>
                <w:sz w:val="24"/>
                <w:szCs w:val="24"/>
                <w:highlight w:val="white"/>
                <w:lang w:val="ru-RU"/>
              </w:rPr>
              <w:t>до</w:t>
            </w:r>
            <w:proofErr w:type="gramEnd"/>
            <w:r w:rsidRPr="00D93344">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D93344">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w:t>
            </w:r>
            <w:r w:rsidRPr="00D93344">
              <w:rPr>
                <w:rFonts w:ascii="Times New Roman" w:eastAsia="Times New Roman" w:hAnsi="Times New Roman" w:cs="Times New Roman"/>
                <w:sz w:val="24"/>
                <w:szCs w:val="24"/>
                <w:highlight w:val="white"/>
                <w:lang w:val="ru-RU"/>
              </w:rPr>
              <w:lastRenderedPageBreak/>
              <w:t xml:space="preserve">протягом одного дня з дати прийняття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їх внесення.</w:t>
            </w:r>
          </w:p>
        </w:tc>
      </w:tr>
      <w:tr w:rsidR="00AD4CF9" w:rsidRPr="004F334C"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4F334C"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2"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12061A">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пунктом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lastRenderedPageBreak/>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податку або копію свідоцтва платника </w:t>
            </w:r>
            <w:r w:rsidRPr="0012061A">
              <w:rPr>
                <w:rFonts w:eastAsia="Calibri"/>
                <w:sz w:val="24"/>
                <w:szCs w:val="24"/>
                <w:lang w:eastAsia="uk-UA"/>
              </w:rPr>
              <w:lastRenderedPageBreak/>
              <w:t>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 xml:space="preserve">що </w:t>
            </w:r>
            <w:proofErr w:type="gramStart"/>
            <w:r w:rsidR="00FD18F6" w:rsidRPr="0012061A">
              <w:rPr>
                <w:sz w:val="24"/>
                <w:szCs w:val="24"/>
                <w:lang w:val="ru-RU"/>
              </w:rPr>
              <w:t>містить</w:t>
            </w:r>
            <w:proofErr w:type="gramEnd"/>
            <w:r w:rsidR="00FD18F6" w:rsidRPr="0012061A">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присвоєного електронною системою закупівель та/або унікального номера повідомлення про намір </w:t>
            </w:r>
            <w:r w:rsidRPr="0012061A">
              <w:rPr>
                <w:rFonts w:ascii="Times New Roman" w:eastAsia="Times New Roman" w:hAnsi="Times New Roman" w:cs="Times New Roman"/>
                <w:sz w:val="24"/>
                <w:szCs w:val="24"/>
                <w:lang w:val="ru-RU"/>
              </w:rPr>
              <w:lastRenderedPageBreak/>
              <w:t>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застосування правил переносу частини слова з 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9.</w:t>
            </w:r>
            <w:r w:rsidRPr="0012061A">
              <w:rPr>
                <w:rFonts w:ascii="Times New Roman" w:eastAsia="Times New Roman" w:hAnsi="Times New Roman" w:cs="Times New Roman"/>
                <w:sz w:val="24"/>
                <w:szCs w:val="24"/>
                <w:lang w:val="ru-RU"/>
              </w:rPr>
              <w:tab/>
              <w:t xml:space="preserve">Подання документа учасником процедури </w:t>
            </w:r>
            <w:r w:rsidRPr="0012061A">
              <w:rPr>
                <w:rFonts w:ascii="Times New Roman" w:eastAsia="Times New Roman" w:hAnsi="Times New Roman" w:cs="Times New Roman"/>
                <w:sz w:val="24"/>
                <w:szCs w:val="24"/>
                <w:lang w:val="ru-RU"/>
              </w:rPr>
              <w:lastRenderedPageBreak/>
              <w:t>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12061A">
              <w:rPr>
                <w:rFonts w:ascii="Times New Roman" w:eastAsia="Times New Roman" w:hAnsi="Times New Roman" w:cs="Times New Roman"/>
                <w:color w:val="000000"/>
                <w:sz w:val="24"/>
                <w:szCs w:val="24"/>
                <w:lang w:val="ru-RU"/>
              </w:rPr>
              <w:lastRenderedPageBreak/>
              <w:t>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4F334C"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4F334C">
              <w:rPr>
                <w:rFonts w:ascii="Times New Roman" w:eastAsia="Times New Roman" w:hAnsi="Times New Roman" w:cs="Times New Roman"/>
                <w:color w:val="000000"/>
                <w:sz w:val="24"/>
                <w:szCs w:val="24"/>
                <w:lang w:val="ru-RU"/>
              </w:rPr>
              <w:t xml:space="preserve">накладати на нього </w:t>
            </w:r>
            <w:proofErr w:type="gramStart"/>
            <w:r w:rsidRPr="004F334C">
              <w:rPr>
                <w:rFonts w:ascii="Times New Roman" w:eastAsia="Times New Roman" w:hAnsi="Times New Roman" w:cs="Times New Roman"/>
                <w:color w:val="000000"/>
                <w:sz w:val="24"/>
                <w:szCs w:val="24"/>
                <w:lang w:val="ru-RU"/>
              </w:rPr>
              <w:t>св</w:t>
            </w:r>
            <w:proofErr w:type="gramEnd"/>
            <w:r w:rsidRPr="004F334C">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4F334C">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334C">
              <w:rPr>
                <w:rFonts w:ascii="Times New Roman" w:eastAsia="Times New Roman" w:hAnsi="Times New Roman" w:cs="Times New Roman"/>
                <w:color w:val="000000"/>
                <w:sz w:val="24"/>
                <w:szCs w:val="24"/>
                <w:lang w:val="ru-RU"/>
              </w:rPr>
              <w:t>п</w:t>
            </w:r>
            <w:proofErr w:type="gramEnd"/>
            <w:r w:rsidRPr="004F334C">
              <w:rPr>
                <w:rFonts w:ascii="Times New Roman" w:eastAsia="Times New Roman" w:hAnsi="Times New Roman" w:cs="Times New Roman"/>
                <w:color w:val="000000"/>
                <w:sz w:val="24"/>
                <w:szCs w:val="24"/>
                <w:lang w:val="ru-RU"/>
              </w:rPr>
              <w:t>ідприємствами / установами / організаціями).</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12061A">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011345" w:rsidRPr="0012061A" w:rsidRDefault="000B161F" w:rsidP="00CE3792">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sidRPr="0012061A">
              <w:rPr>
                <w:rFonts w:ascii="Times New Roman" w:eastAsia="Times New Roman" w:hAnsi="Times New Roman" w:cs="Times New Roman"/>
                <w:sz w:val="24"/>
                <w:szCs w:val="24"/>
                <w:lang w:val="ru-RU"/>
              </w:rPr>
              <w:lastRenderedPageBreak/>
              <w:t>Кожен учасник має право подати тільки одну тендерну пропозицію</w:t>
            </w:r>
            <w:r w:rsidRPr="0012061A">
              <w:rPr>
                <w:rFonts w:ascii="Times New Roman" w:eastAsia="Times New Roman" w:hAnsi="Times New Roman" w:cs="Times New Roman"/>
                <w:b/>
                <w:sz w:val="24"/>
                <w:szCs w:val="24"/>
                <w:lang w:val="ru-RU"/>
              </w:rPr>
              <w:t xml:space="preserve"> </w:t>
            </w:r>
            <w:r w:rsidRPr="0012061A">
              <w:rPr>
                <w:rFonts w:ascii="Times New Roman" w:eastAsia="Times New Roman" w:hAnsi="Times New Roman" w:cs="Times New Roman"/>
                <w:sz w:val="24"/>
                <w:szCs w:val="24"/>
                <w:lang w:val="ru-RU"/>
              </w:rPr>
              <w:t>(у тому числі до визначеної в тендерній документації ча</w:t>
            </w:r>
            <w:r w:rsidR="00CE3792" w:rsidRPr="0012061A">
              <w:rPr>
                <w:rFonts w:ascii="Times New Roman" w:eastAsia="Times New Roman" w:hAnsi="Times New Roman" w:cs="Times New Roman"/>
                <w:sz w:val="24"/>
                <w:szCs w:val="24"/>
                <w:lang w:val="ru-RU"/>
              </w:rPr>
              <w:t>стини предмета закупі</w:t>
            </w:r>
            <w:proofErr w:type="gramStart"/>
            <w:r w:rsidR="00CE3792" w:rsidRPr="0012061A">
              <w:rPr>
                <w:rFonts w:ascii="Times New Roman" w:eastAsia="Times New Roman" w:hAnsi="Times New Roman" w:cs="Times New Roman"/>
                <w:sz w:val="24"/>
                <w:szCs w:val="24"/>
                <w:lang w:val="ru-RU"/>
              </w:rPr>
              <w:t>вл</w:t>
            </w:r>
            <w:proofErr w:type="gramEnd"/>
            <w:r w:rsidR="00CE3792" w:rsidRPr="0012061A">
              <w:rPr>
                <w:rFonts w:ascii="Times New Roman" w:eastAsia="Times New Roman" w:hAnsi="Times New Roman" w:cs="Times New Roman"/>
                <w:sz w:val="24"/>
                <w:szCs w:val="24"/>
                <w:lang w:val="ru-RU"/>
              </w:rPr>
              <w:t>і (лота)).</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4F334C"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45A" w:rsidRPr="004F334C" w:rsidTr="00E35D44">
        <w:trPr>
          <w:trHeight w:val="522"/>
          <w:jc w:val="center"/>
        </w:trPr>
        <w:tc>
          <w:tcPr>
            <w:tcW w:w="570" w:type="dxa"/>
          </w:tcPr>
          <w:p w:rsidR="0037445A" w:rsidRPr="00D93344" w:rsidRDefault="0037445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37445A" w:rsidRPr="00D93344" w:rsidRDefault="0037445A" w:rsidP="00ED7C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37445A"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D93344">
              <w:rPr>
                <w:rFonts w:ascii="Times New Roman" w:eastAsia="Times New Roman" w:hAnsi="Times New Roman" w:cs="Times New Roman"/>
                <w:sz w:val="24"/>
                <w:szCs w:val="24"/>
                <w:lang w:val="uk-UA" w:eastAsia="zh-CN"/>
              </w:rPr>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344">
              <w:rPr>
                <w:rFonts w:ascii="Times New Roman" w:eastAsia="Times New Roman" w:hAnsi="Times New Roman" w:cs="Times New Roman"/>
                <w:b/>
                <w:sz w:val="24"/>
                <w:szCs w:val="24"/>
                <w:lang w:val="uk-UA" w:eastAsia="zh-CN"/>
              </w:rPr>
              <w:t>Додатку № 1</w:t>
            </w:r>
            <w:r w:rsidRPr="00D93344">
              <w:rPr>
                <w:rFonts w:ascii="Times New Roman" w:eastAsia="Times New Roman" w:hAnsi="Times New Roman" w:cs="Times New Roman"/>
                <w:sz w:val="24"/>
                <w:szCs w:val="24"/>
                <w:lang w:val="uk-UA" w:eastAsia="zh-CN"/>
              </w:rPr>
              <w:t>.</w:t>
            </w:r>
          </w:p>
          <w:p w:rsidR="0037445A" w:rsidRPr="00D93344" w:rsidRDefault="0037445A" w:rsidP="00ED7C9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F21C37">
              <w:rPr>
                <w:rFonts w:ascii="Times New Roman" w:eastAsia="Times New Roman" w:hAnsi="Times New Roman" w:cs="Times New Roman"/>
                <w:b/>
                <w:sz w:val="24"/>
                <w:szCs w:val="24"/>
                <w:lang w:val="uk-UA" w:eastAsia="zh-CN"/>
              </w:rPr>
              <w:t xml:space="preserve">Додатку № 1 </w:t>
            </w:r>
            <w:r w:rsidRPr="00F21C37">
              <w:rPr>
                <w:rFonts w:ascii="Times New Roman" w:eastAsia="Times New Roman" w:hAnsi="Times New Roman" w:cs="Times New Roman"/>
                <w:sz w:val="24"/>
                <w:szCs w:val="24"/>
                <w:lang w:val="uk-UA" w:eastAsia="zh-CN"/>
              </w:rPr>
              <w:t>та</w:t>
            </w:r>
            <w:r w:rsidRPr="00F21C37">
              <w:rPr>
                <w:rFonts w:ascii="Times New Roman" w:eastAsia="Times New Roman" w:hAnsi="Times New Roman" w:cs="Times New Roman"/>
                <w:b/>
                <w:sz w:val="24"/>
                <w:szCs w:val="24"/>
                <w:lang w:val="uk-UA" w:eastAsia="zh-CN"/>
              </w:rPr>
              <w:t xml:space="preserve"> Додатку № 2</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p>
          <w:p w:rsidR="0037445A" w:rsidRPr="00D93344" w:rsidRDefault="0037445A" w:rsidP="00ED7C97">
            <w:pPr>
              <w:widowControl w:val="0"/>
              <w:spacing w:after="0" w:line="240" w:lineRule="auto"/>
              <w:ind w:right="120"/>
              <w:jc w:val="center"/>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sz w:val="24"/>
                <w:szCs w:val="24"/>
                <w:lang w:val="ru-RU"/>
              </w:rPr>
              <w:t>П</w:t>
            </w:r>
            <w:proofErr w:type="gramEnd"/>
            <w:r w:rsidRPr="00D93344">
              <w:rPr>
                <w:rFonts w:ascii="Times New Roman" w:eastAsia="Times New Roman" w:hAnsi="Times New Roman" w:cs="Times New Roman"/>
                <w:b/>
                <w:sz w:val="24"/>
                <w:szCs w:val="24"/>
                <w:lang w:val="ru-RU"/>
              </w:rPr>
              <w:t>ідстави, визначені пунктом 47 Особливостей</w:t>
            </w:r>
            <w:r>
              <w:rPr>
                <w:rFonts w:ascii="Times New Roman" w:eastAsia="Times New Roman" w:hAnsi="Times New Roman" w:cs="Times New Roman"/>
                <w:b/>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приймає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lastRenderedPageBreak/>
              <w:t>3)</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5)</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фізична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6)</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7)</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8)</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9)</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 Єдиному державному реє</w:t>
            </w:r>
            <w:proofErr w:type="gramStart"/>
            <w:r w:rsidRPr="00D93344">
              <w:rPr>
                <w:rFonts w:ascii="Times New Roman" w:eastAsia="Times New Roman" w:hAnsi="Times New Roman" w:cs="Times New Roman"/>
                <w:sz w:val="24"/>
                <w:szCs w:val="24"/>
                <w:lang w:val="ru-RU"/>
              </w:rPr>
              <w:t>стр</w:t>
            </w:r>
            <w:proofErr w:type="gramEnd"/>
            <w:r w:rsidRPr="00D93344">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3344">
              <w:rPr>
                <w:rFonts w:ascii="Times New Roman" w:eastAsia="Times New Roman" w:hAnsi="Times New Roman" w:cs="Times New Roman"/>
                <w:sz w:val="24"/>
                <w:szCs w:val="24"/>
                <w:lang w:val="ru-RU"/>
              </w:rPr>
              <w:br/>
              <w:t>20 млн. гривень (у тому числі за лотом);</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11)</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D93344">
              <w:rPr>
                <w:rFonts w:ascii="Times New Roman" w:eastAsia="Times New Roman" w:hAnsi="Times New Roman" w:cs="Times New Roman"/>
                <w:sz w:val="24"/>
                <w:szCs w:val="24"/>
                <w:lang w:val="ru-RU"/>
              </w:rPr>
              <w:lastRenderedPageBreak/>
              <w:t>“Про санкції”</w:t>
            </w:r>
            <w:r>
              <w:rPr>
                <w:rFonts w:ascii="Times New Roman" w:eastAsia="Times New Roman" w:hAnsi="Times New Roman" w:cs="Times New Roman"/>
                <w:sz w:val="24"/>
                <w:szCs w:val="24"/>
                <w:lang w:val="ru-RU"/>
              </w:rPr>
              <w:t xml:space="preserve">,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r w:rsidRPr="00D93344">
              <w:rPr>
                <w:rFonts w:ascii="Times New Roman" w:eastAsia="Times New Roman" w:hAnsi="Times New Roman" w:cs="Times New Roman"/>
                <w:sz w:val="24"/>
                <w:szCs w:val="24"/>
                <w:lang w:val="ru-RU"/>
              </w:rPr>
              <w:t>;</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може прийняти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та</w:t>
            </w:r>
            <w:proofErr w:type="gramEnd"/>
            <w:r w:rsidRPr="00D93344">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37445A" w:rsidRPr="00D93344" w:rsidRDefault="0037445A" w:rsidP="00ED7C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37445A" w:rsidRPr="00D93344" w:rsidRDefault="0037445A" w:rsidP="00ED7C97">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sidRPr="00D93344">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sidRPr="00D93344">
              <w:rPr>
                <w:rFonts w:ascii="Times New Roman" w:eastAsia="Times New Roman" w:hAnsi="Times New Roman" w:cs="Times New Roman"/>
                <w:b/>
                <w:i/>
                <w:sz w:val="24"/>
                <w:szCs w:val="24"/>
                <w:highlight w:val="white"/>
                <w:lang w:val="ru-RU"/>
              </w:rPr>
              <w:t>п</w:t>
            </w:r>
            <w:proofErr w:type="gramEnd"/>
            <w:r w:rsidRPr="00D93344">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4F334C"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3" w:history="1">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hyperlink>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Інформація про субпідрядника/співвиконавця (у випадку закупівлі робіт </w:t>
            </w:r>
            <w:r w:rsidRPr="00D93344">
              <w:rPr>
                <w:rFonts w:ascii="Times New Roman" w:eastAsia="Times New Roman" w:hAnsi="Times New Roman" w:cs="Times New Roman"/>
                <w:b/>
                <w:color w:val="000000"/>
                <w:sz w:val="24"/>
                <w:szCs w:val="24"/>
                <w:lang w:val="uk-UA"/>
              </w:rPr>
              <w:lastRenderedPageBreak/>
              <w:t>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lastRenderedPageBreak/>
              <w:t>Не передбачено.</w:t>
            </w:r>
          </w:p>
        </w:tc>
      </w:tr>
      <w:tr w:rsidR="00602DF3" w:rsidRPr="004F334C"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lastRenderedPageBreak/>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4F334C"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4F334C"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4F334C">
              <w:rPr>
                <w:rFonts w:ascii="Times New Roman" w:eastAsia="Times New Roman" w:hAnsi="Times New Roman" w:cs="Times New Roman"/>
                <w:sz w:val="24"/>
                <w:szCs w:val="24"/>
                <w:lang w:val="ru-RU"/>
              </w:rPr>
              <w:t>Кінцевий строк подання тендерних пропозицій — «</w:t>
            </w:r>
            <w:r w:rsidRPr="004F334C">
              <w:rPr>
                <w:rFonts w:ascii="Times New Roman" w:eastAsia="Times New Roman" w:hAnsi="Times New Roman" w:cs="Times New Roman"/>
                <w:b/>
                <w:sz w:val="24"/>
                <w:szCs w:val="24"/>
                <w:lang w:val="ru-RU"/>
              </w:rPr>
              <w:t>_</w:t>
            </w:r>
            <w:r w:rsidR="002A7031" w:rsidRPr="004F334C">
              <w:rPr>
                <w:rFonts w:ascii="Times New Roman" w:eastAsia="Times New Roman" w:hAnsi="Times New Roman" w:cs="Times New Roman"/>
                <w:b/>
                <w:sz w:val="24"/>
                <w:szCs w:val="24"/>
                <w:lang w:val="ru-RU"/>
              </w:rPr>
              <w:t>2</w:t>
            </w:r>
            <w:r w:rsidR="004F334C" w:rsidRPr="004F334C">
              <w:rPr>
                <w:rFonts w:ascii="Times New Roman" w:eastAsia="Times New Roman" w:hAnsi="Times New Roman" w:cs="Times New Roman"/>
                <w:b/>
                <w:sz w:val="24"/>
                <w:szCs w:val="24"/>
                <w:lang w:val="ru-RU"/>
              </w:rPr>
              <w:t>9</w:t>
            </w:r>
            <w:r w:rsidRPr="004F334C">
              <w:rPr>
                <w:rFonts w:ascii="Times New Roman" w:eastAsia="Times New Roman" w:hAnsi="Times New Roman" w:cs="Times New Roman"/>
                <w:b/>
                <w:sz w:val="24"/>
                <w:szCs w:val="24"/>
                <w:lang w:val="ru-RU"/>
              </w:rPr>
              <w:t xml:space="preserve">_» </w:t>
            </w:r>
            <w:r w:rsidR="0037445A" w:rsidRPr="004F334C">
              <w:rPr>
                <w:rFonts w:ascii="Times New Roman" w:eastAsia="Times New Roman" w:hAnsi="Times New Roman" w:cs="Times New Roman"/>
                <w:b/>
                <w:sz w:val="24"/>
                <w:szCs w:val="24"/>
                <w:lang w:val="ru-RU"/>
              </w:rPr>
              <w:t>листопада</w:t>
            </w:r>
            <w:r w:rsidRPr="004F334C">
              <w:rPr>
                <w:rFonts w:ascii="Times New Roman" w:eastAsia="Times New Roman" w:hAnsi="Times New Roman" w:cs="Times New Roman"/>
                <w:b/>
                <w:sz w:val="24"/>
                <w:szCs w:val="24"/>
                <w:lang w:val="ru-RU"/>
              </w:rPr>
              <w:t xml:space="preserve"> 20</w:t>
            </w:r>
            <w:r w:rsidR="00CF7366" w:rsidRPr="004F334C">
              <w:rPr>
                <w:rFonts w:ascii="Times New Roman" w:eastAsia="Times New Roman" w:hAnsi="Times New Roman" w:cs="Times New Roman"/>
                <w:b/>
                <w:sz w:val="24"/>
                <w:szCs w:val="24"/>
                <w:lang w:val="ru-RU"/>
              </w:rPr>
              <w:t>23</w:t>
            </w:r>
            <w:r w:rsidRPr="004F334C">
              <w:rPr>
                <w:rFonts w:ascii="Times New Roman" w:eastAsia="Times New Roman" w:hAnsi="Times New Roman" w:cs="Times New Roman"/>
                <w:b/>
                <w:sz w:val="24"/>
                <w:szCs w:val="24"/>
                <w:lang w:val="ru-RU"/>
              </w:rPr>
              <w:t xml:space="preserve"> року до 1</w:t>
            </w:r>
            <w:r w:rsidR="00F21C37" w:rsidRPr="004F334C">
              <w:rPr>
                <w:rFonts w:ascii="Times New Roman" w:eastAsia="Times New Roman" w:hAnsi="Times New Roman" w:cs="Times New Roman"/>
                <w:b/>
                <w:sz w:val="24"/>
                <w:szCs w:val="24"/>
                <w:lang w:val="ru-RU"/>
              </w:rPr>
              <w:t>7</w:t>
            </w:r>
            <w:r w:rsidRPr="004F334C">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w:t>
            </w:r>
            <w:proofErr w:type="gramStart"/>
            <w:r w:rsidRPr="006A4D9D">
              <w:rPr>
                <w:rFonts w:ascii="Times New Roman" w:eastAsia="Times New Roman" w:hAnsi="Times New Roman" w:cs="Times New Roman"/>
                <w:sz w:val="24"/>
                <w:szCs w:val="24"/>
                <w:lang w:val="ru-RU"/>
              </w:rPr>
              <w:t>п</w:t>
            </w:r>
            <w:proofErr w:type="gramEnd"/>
            <w:r w:rsidRPr="006A4D9D">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3444BE" w:rsidRPr="004F334C"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4"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4F334C"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4F334C"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93344">
                <w:rPr>
                  <w:rFonts w:ascii="Times New Roman" w:eastAsia="Times New Roman" w:hAnsi="Times New Roman" w:cs="Times New Roman"/>
                  <w:sz w:val="24"/>
                  <w:szCs w:val="24"/>
                  <w:highlight w:val="white"/>
                  <w:lang w:val="uk-UA"/>
                </w:rPr>
                <w:t>шістнадцятої</w:t>
              </w:r>
            </w:hyperlink>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Для проведення відкритих торгів із застосуванням </w:t>
            </w:r>
            <w:r w:rsidRPr="00D93344">
              <w:rPr>
                <w:rFonts w:ascii="Times New Roman" w:eastAsia="Times New Roman" w:hAnsi="Times New Roman" w:cs="Times New Roman"/>
                <w:sz w:val="24"/>
                <w:szCs w:val="24"/>
                <w:highlight w:val="white"/>
                <w:lang w:val="ru-RU"/>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 xml:space="preserve">тендерна </w:t>
            </w:r>
            <w:r w:rsidRPr="00D93344">
              <w:rPr>
                <w:rFonts w:ascii="Times New Roman" w:eastAsia="Times New Roman" w:hAnsi="Times New Roman" w:cs="Times New Roman"/>
                <w:b/>
                <w:i/>
                <w:sz w:val="24"/>
                <w:szCs w:val="24"/>
                <w:lang w:val="ru-RU"/>
              </w:rPr>
              <w:lastRenderedPageBreak/>
              <w:t>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і, визначена 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Розмі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мінімального </w:t>
            </w:r>
            <w:r w:rsidRPr="00447555">
              <w:rPr>
                <w:rFonts w:ascii="Times New Roman" w:eastAsia="Times New Roman" w:hAnsi="Times New Roman" w:cs="Times New Roman"/>
                <w:sz w:val="24"/>
                <w:szCs w:val="24"/>
                <w:lang w:val="ru-RU"/>
              </w:rPr>
              <w:t xml:space="preserve">кроку пониження ціни під час електронного аукціону – </w:t>
            </w:r>
            <w:r w:rsidRPr="00447555">
              <w:rPr>
                <w:rFonts w:ascii="Times New Roman" w:eastAsia="Times New Roman" w:hAnsi="Times New Roman" w:cs="Times New Roman"/>
                <w:b/>
                <w:sz w:val="24"/>
                <w:szCs w:val="24"/>
                <w:lang w:val="ru-RU"/>
              </w:rPr>
              <w:t xml:space="preserve">0,5% </w:t>
            </w:r>
            <w:r w:rsidRPr="00447555">
              <w:rPr>
                <w:rFonts w:ascii="Times New Roman" w:eastAsia="Times New Roman" w:hAnsi="Times New Roman" w:cs="Times New Roman"/>
                <w:b/>
                <w:i/>
                <w:sz w:val="24"/>
                <w:szCs w:val="24"/>
                <w:lang w:val="ru-RU"/>
              </w:rPr>
              <w:t>(</w:t>
            </w:r>
            <w:r w:rsidR="00A07C8D">
              <w:rPr>
                <w:rFonts w:ascii="Times New Roman" w:eastAsia="Times New Roman" w:hAnsi="Times New Roman" w:cs="Times New Roman"/>
                <w:b/>
                <w:i/>
                <w:sz w:val="24"/>
                <w:szCs w:val="24"/>
                <w:lang w:val="ru-RU"/>
              </w:rPr>
              <w:t>162,5</w:t>
            </w:r>
            <w:r w:rsidR="00447555" w:rsidRPr="00447555">
              <w:rPr>
                <w:rFonts w:ascii="Times New Roman" w:eastAsia="Times New Roman" w:hAnsi="Times New Roman" w:cs="Times New Roman"/>
                <w:b/>
                <w:i/>
                <w:sz w:val="24"/>
                <w:szCs w:val="24"/>
                <w:lang w:val="ru-RU"/>
              </w:rPr>
              <w:t>0</w:t>
            </w:r>
            <w:r w:rsidR="002A7031" w:rsidRPr="00447555">
              <w:rPr>
                <w:rFonts w:ascii="Times New Roman" w:eastAsia="Times New Roman" w:hAnsi="Times New Roman" w:cs="Times New Roman"/>
                <w:b/>
                <w:i/>
                <w:sz w:val="24"/>
                <w:szCs w:val="24"/>
                <w:lang w:val="ru-RU"/>
              </w:rPr>
              <w:t xml:space="preserve"> </w:t>
            </w:r>
            <w:r w:rsidRPr="00447555">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D93344">
              <w:rPr>
                <w:rFonts w:ascii="Times New Roman" w:eastAsia="Times New Roman" w:hAnsi="Times New Roman" w:cs="Times New Roman"/>
                <w:sz w:val="24"/>
                <w:szCs w:val="24"/>
                <w:highlight w:val="white"/>
                <w:lang w:val="ru-RU"/>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w:t>
            </w:r>
            <w:r w:rsidRPr="00D93344">
              <w:rPr>
                <w:rFonts w:ascii="Times New Roman" w:eastAsia="Times New Roman" w:hAnsi="Times New Roman" w:cs="Times New Roman"/>
                <w:sz w:val="24"/>
                <w:szCs w:val="24"/>
                <w:highlight w:val="white"/>
                <w:lang w:val="ru-RU"/>
              </w:rPr>
              <w:lastRenderedPageBreak/>
              <w:t xml:space="preserve">результатами оцінки визначена найбільш економічно вигідною, замовник розглядає наступну тендерну пропозицію </w:t>
            </w:r>
            <w:r w:rsidR="00835BD7">
              <w:rPr>
                <w:rFonts w:ascii="Times New Roman" w:eastAsia="Times New Roman" w:hAnsi="Times New Roman" w:cs="Times New Roman"/>
                <w:sz w:val="24"/>
                <w:szCs w:val="24"/>
                <w:highlight w:val="white"/>
                <w:lang w:val="ru-RU"/>
              </w:rPr>
              <w:t>у списку</w:t>
            </w:r>
            <w:r w:rsidRPr="00D93344">
              <w:rPr>
                <w:rFonts w:ascii="Times New Roman" w:eastAsia="Times New Roman" w:hAnsi="Times New Roman" w:cs="Times New Roman"/>
                <w:sz w:val="24"/>
                <w:szCs w:val="24"/>
                <w:highlight w:val="white"/>
                <w:lang w:val="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roofErr w:type="gramEnd"/>
          </w:p>
          <w:p w:rsidR="00602DF3" w:rsidRPr="00D93344" w:rsidRDefault="00DD0BAC" w:rsidP="00DD0BAC">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b/>
                <w:i/>
                <w:sz w:val="24"/>
                <w:szCs w:val="24"/>
                <w:lang w:val="ru-RU"/>
              </w:rPr>
              <w:t>У разі коли учасник процедури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D93344">
              <w:rPr>
                <w:rFonts w:ascii="Times New Roman" w:eastAsia="Times New Roman" w:hAnsi="Times New Roman" w:cs="Times New Roman"/>
                <w:i/>
                <w:sz w:val="24"/>
                <w:szCs w:val="24"/>
                <w:lang w:val="ru-RU"/>
              </w:rPr>
              <w:t>(у разі здійснення закупівлі за лотами).</w:t>
            </w:r>
          </w:p>
        </w:tc>
      </w:tr>
      <w:tr w:rsidR="00602DF3" w:rsidRPr="004F334C"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D93344">
              <w:rPr>
                <w:rFonts w:ascii="Times New Roman" w:eastAsia="Times New Roman" w:hAnsi="Times New Roman" w:cs="Times New Roman"/>
                <w:color w:val="000000"/>
                <w:sz w:val="24"/>
                <w:szCs w:val="24"/>
                <w:lang w:val="ru-RU"/>
              </w:rPr>
              <w:lastRenderedPageBreak/>
              <w:t xml:space="preserve">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w:t>
            </w:r>
            <w:r w:rsidRPr="00D93344">
              <w:rPr>
                <w:rFonts w:ascii="Times New Roman" w:eastAsia="Times New Roman" w:hAnsi="Times New Roman" w:cs="Times New Roman"/>
                <w:color w:val="000000"/>
                <w:sz w:val="24"/>
                <w:szCs w:val="24"/>
                <w:lang w:val="ru-RU"/>
              </w:rPr>
              <w:lastRenderedPageBreak/>
              <w:t xml:space="preserve">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93344">
              <w:rPr>
                <w:rFonts w:ascii="Times New Roman" w:eastAsia="Times New Roman" w:hAnsi="Times New Roman" w:cs="Times New Roman"/>
                <w:sz w:val="24"/>
                <w:szCs w:val="24"/>
                <w:lang w:val="ru-RU"/>
              </w:rPr>
              <w:t>є,</w:t>
            </w:r>
            <w:proofErr w:type="gramEnd"/>
            <w:r w:rsidRPr="00D93344">
              <w:rPr>
                <w:rFonts w:ascii="Times New Roman" w:eastAsia="Times New Roman" w:hAnsi="Times New Roman" w:cs="Times New Roman"/>
                <w:sz w:val="24"/>
                <w:szCs w:val="24"/>
                <w:lang w:val="ru-RU"/>
              </w:rPr>
              <w:t xml:space="preserve"> жодні окремі підтвердження не потрібно подавати):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3344">
              <w:rPr>
                <w:rFonts w:ascii="Times New Roman" w:eastAsia="Times New Roman" w:hAnsi="Times New Roman" w:cs="Times New Roman"/>
                <w:sz w:val="24"/>
                <w:szCs w:val="24"/>
                <w:lang w:val="ru-RU"/>
              </w:rPr>
              <w:t>ієї П</w:t>
            </w:r>
            <w:proofErr w:type="gramEnd"/>
            <w:r w:rsidRPr="00D93344">
              <w:rPr>
                <w:rFonts w:ascii="Times New Roman" w:eastAsia="Times New Roman" w:hAnsi="Times New Roman" w:cs="Times New Roman"/>
                <w:sz w:val="24"/>
                <w:szCs w:val="24"/>
                <w:lang w:val="ru-RU"/>
              </w:rPr>
              <w:t>останови;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D93344">
              <w:rPr>
                <w:rFonts w:ascii="Times New Roman" w:eastAsia="Times New Roman" w:hAnsi="Times New Roman" w:cs="Times New Roman"/>
                <w:sz w:val="24"/>
                <w:szCs w:val="24"/>
              </w:rPr>
              <w:t>VII</w:t>
            </w:r>
            <w:r w:rsidRPr="00D93344">
              <w:rPr>
                <w:rFonts w:ascii="Times New Roman" w:eastAsia="Times New Roman" w:hAnsi="Times New Roman" w:cs="Times New Roman"/>
                <w:sz w:val="24"/>
                <w:szCs w:val="24"/>
                <w:lang w:val="ru-RU"/>
              </w:rPr>
              <w:t>.</w:t>
            </w:r>
          </w:p>
          <w:p w:rsidR="00EB3CFA" w:rsidRPr="00D93344" w:rsidRDefault="0061265C"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А також враховувати, що в Україні </w:t>
            </w:r>
            <w:r w:rsidRPr="00D93344">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D93344">
              <w:rPr>
                <w:rFonts w:ascii="Times New Roman" w:eastAsia="Times New Roman" w:hAnsi="Times New Roman" w:cs="Times New Roman"/>
                <w:sz w:val="24"/>
                <w:szCs w:val="24"/>
                <w:highlight w:val="white"/>
                <w:lang w:val="ru-RU"/>
              </w:rPr>
              <w:lastRenderedPageBreak/>
              <w:t>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тих, що проживають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tc>
      </w:tr>
      <w:tr w:rsidR="00602DF3" w:rsidRPr="004F334C"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61265C" w:rsidRPr="00D93344" w:rsidRDefault="0061265C" w:rsidP="0061265C">
            <w:pPr>
              <w:spacing w:after="0" w:line="240" w:lineRule="auto"/>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D93344">
              <w:rPr>
                <w:rFonts w:ascii="Times New Roman" w:eastAsia="Times New Roman" w:hAnsi="Times New Roman" w:cs="Times New Roman"/>
                <w:sz w:val="24"/>
                <w:szCs w:val="24"/>
                <w:highlight w:val="white"/>
                <w:lang w:val="ru-RU"/>
              </w:rPr>
              <w:t>першим</w:t>
            </w:r>
            <w:proofErr w:type="gramEnd"/>
            <w:r w:rsidRPr="00D93344">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D93344">
              <w:rPr>
                <w:rFonts w:ascii="Times New Roman" w:eastAsia="Times New Roman" w:hAnsi="Times New Roman" w:cs="Times New Roman"/>
                <w:sz w:val="24"/>
                <w:szCs w:val="24"/>
                <w:highlight w:val="white"/>
                <w:lang w:val="ru-RU"/>
              </w:rPr>
              <w:lastRenderedPageBreak/>
              <w:t>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того, що проживає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93344">
              <w:rPr>
                <w:rFonts w:ascii="Times New Roman" w:eastAsia="Times New Roman" w:hAnsi="Times New Roman" w:cs="Times New Roman"/>
                <w:sz w:val="24"/>
                <w:szCs w:val="24"/>
                <w:highlight w:val="white"/>
                <w:lang w:val="ru-RU"/>
              </w:rPr>
              <w:t>стр</w:t>
            </w:r>
            <w:proofErr w:type="gramEnd"/>
            <w:r w:rsidRPr="00D93344">
              <w:rPr>
                <w:rFonts w:ascii="Times New Roman" w:eastAsia="Times New Roman" w:hAnsi="Times New Roman" w:cs="Times New Roman"/>
                <w:sz w:val="24"/>
                <w:szCs w:val="24"/>
                <w:highlight w:val="white"/>
                <w:lang w:val="ru-RU"/>
              </w:rPr>
              <w:t>ів України від 12 жовтня 2022 р.</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 №</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 тендерна пропозиція: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умовам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93344">
                <w:rPr>
                  <w:rFonts w:ascii="Times New Roman" w:eastAsia="Times New Roman" w:hAnsi="Times New Roman" w:cs="Times New Roman"/>
                  <w:sz w:val="24"/>
                  <w:szCs w:val="24"/>
                  <w:highlight w:val="white"/>
                  <w:lang w:val="ru-RU"/>
                </w:rPr>
                <w:t>пункту 4</w:t>
              </w:r>
            </w:hyperlink>
            <w:r w:rsidRPr="00D93344">
              <w:rPr>
                <w:rFonts w:ascii="Times New Roman" w:eastAsia="Times New Roman" w:hAnsi="Times New Roman" w:cs="Times New Roman"/>
                <w:sz w:val="24"/>
                <w:szCs w:val="24"/>
                <w:highlight w:val="white"/>
                <w:lang w:val="ru-RU"/>
              </w:rPr>
              <w:t>3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є </w:t>
            </w:r>
            <w:proofErr w:type="gramStart"/>
            <w:r w:rsidRPr="00D93344">
              <w:rPr>
                <w:rFonts w:ascii="Times New Roman" w:eastAsia="Times New Roman" w:hAnsi="Times New Roman" w:cs="Times New Roman"/>
                <w:sz w:val="24"/>
                <w:szCs w:val="24"/>
                <w:highlight w:val="white"/>
                <w:lang w:val="ru-RU"/>
              </w:rPr>
              <w:t>такою</w:t>
            </w:r>
            <w:proofErr w:type="gramEnd"/>
            <w:r w:rsidRPr="00D93344">
              <w:rPr>
                <w:rFonts w:ascii="Times New Roman" w:eastAsia="Times New Roman" w:hAnsi="Times New Roman" w:cs="Times New Roman"/>
                <w:sz w:val="24"/>
                <w:szCs w:val="24"/>
                <w:highlight w:val="white"/>
                <w:lang w:val="ru-RU"/>
              </w:rPr>
              <w:t>, строк дії якої закінчився;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3344">
              <w:rPr>
                <w:rFonts w:ascii="Times New Roman" w:eastAsia="Times New Roman" w:hAnsi="Times New Roman" w:cs="Times New Roman"/>
                <w:sz w:val="24"/>
                <w:szCs w:val="24"/>
                <w:highlight w:val="white"/>
                <w:lang w:val="ru-RU"/>
              </w:rPr>
              <w:t>ніж</w:t>
            </w:r>
            <w:proofErr w:type="gramEnd"/>
            <w:r w:rsidRPr="00D93344">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D93344">
              <w:rPr>
                <w:rFonts w:ascii="Times New Roman" w:eastAsia="Times New Roman" w:hAnsi="Times New Roman" w:cs="Times New Roman"/>
                <w:sz w:val="24"/>
                <w:szCs w:val="24"/>
                <w:highlight w:val="white"/>
                <w:lang w:val="ru-RU"/>
              </w:rPr>
              <w:t>до</w:t>
            </w:r>
            <w:proofErr w:type="gramEnd"/>
            <w:r w:rsidRPr="00D93344">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3) 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відмовився від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w:t>
            </w:r>
            <w:r w:rsidRPr="00D93344">
              <w:rPr>
                <w:rFonts w:ascii="Times New Roman" w:eastAsia="Times New Roman" w:hAnsi="Times New Roman" w:cs="Times New Roman"/>
                <w:sz w:val="24"/>
                <w:szCs w:val="24"/>
                <w:highlight w:val="white"/>
                <w:lang w:val="ru-RU"/>
              </w:rPr>
              <w:lastRenderedPageBreak/>
              <w:t>відсутність підстав, визначених у підпунктах 3, 5, 6 і 12 та в абзаці чотирнадцятому пункту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D93344">
              <w:rPr>
                <w:rFonts w:ascii="Times New Roman" w:eastAsia="Times New Roman" w:hAnsi="Times New Roman" w:cs="Times New Roman"/>
                <w:sz w:val="24"/>
                <w:szCs w:val="24"/>
                <w:highlight w:val="white"/>
                <w:lang w:val="ru-RU"/>
              </w:rPr>
              <w:t>про</w:t>
            </w:r>
            <w:proofErr w:type="gramEnd"/>
            <w:r w:rsidRPr="00D93344">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F45CB6" w:rsidRPr="00D93344" w:rsidRDefault="0061265C" w:rsidP="00835BD7">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F45CB6" w:rsidRPr="00D93344" w:rsidRDefault="0061265C" w:rsidP="00F45CB6">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5C" w:rsidRPr="00D93344" w:rsidRDefault="0061265C" w:rsidP="0061265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61265C" w:rsidP="0061265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C177E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C177E2">
              <w:rPr>
                <w:rFonts w:ascii="Times New Roman" w:eastAsia="Times New Roman" w:hAnsi="Times New Roman" w:cs="Times New Roman"/>
                <w:sz w:val="24"/>
                <w:szCs w:val="24"/>
                <w:highlight w:val="white"/>
                <w:lang w:val="ru-RU"/>
              </w:rPr>
              <w:t>вл</w:t>
            </w:r>
            <w:proofErr w:type="gramEnd"/>
            <w:r w:rsidRPr="00C177E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177E2">
              <w:rPr>
                <w:rFonts w:ascii="Times New Roman" w:eastAsia="Times New Roman" w:hAnsi="Times New Roman" w:cs="Times New Roman"/>
                <w:sz w:val="24"/>
                <w:szCs w:val="24"/>
                <w:highlight w:val="white"/>
                <w:lang w:val="ru-RU"/>
              </w:rPr>
              <w:t>п</w:t>
            </w:r>
            <w:proofErr w:type="gramEnd"/>
            <w:r w:rsidRPr="00C177E2">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4F334C"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4F334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4F334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w:t>
            </w:r>
            <w:r w:rsidRPr="00D93344">
              <w:rPr>
                <w:rFonts w:ascii="Times New Roman" w:eastAsia="Times New Roman" w:hAnsi="Times New Roman" w:cs="Times New Roman"/>
                <w:sz w:val="24"/>
                <w:szCs w:val="24"/>
                <w:highlight w:val="white"/>
                <w:lang w:val="ru-RU"/>
              </w:rPr>
              <w:lastRenderedPageBreak/>
              <w:t xml:space="preserve">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4F334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4F334C"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1265C" w:rsidRPr="00D93344" w:rsidRDefault="0061265C" w:rsidP="0061265C">
            <w:pPr>
              <w:widowControl w:val="0"/>
              <w:spacing w:after="0" w:line="240" w:lineRule="auto"/>
              <w:jc w:val="both"/>
              <w:rPr>
                <w:rFonts w:ascii="Times New Roman" w:eastAsia="Times New Roman" w:hAnsi="Times New Roman" w:cs="Times New Roman"/>
                <w:sz w:val="24"/>
                <w:szCs w:val="24"/>
                <w:highlight w:val="white"/>
              </w:rPr>
            </w:pPr>
            <w:r w:rsidRPr="00D93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65C" w:rsidRPr="00D93344" w:rsidRDefault="0061265C" w:rsidP="0061265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D93344">
              <w:rPr>
                <w:rFonts w:ascii="Times New Roman" w:eastAsia="Times New Roman" w:hAnsi="Times New Roman" w:cs="Times New Roman"/>
                <w:sz w:val="24"/>
                <w:szCs w:val="24"/>
                <w:lang w:val="ru-RU"/>
              </w:rPr>
              <w:t>.</w:t>
            </w:r>
            <w:proofErr w:type="gramEnd"/>
            <w:r w:rsidRPr="00D93344">
              <w:rPr>
                <w:rFonts w:ascii="Times New Roman" w:eastAsia="Times New Roman" w:hAnsi="Times New Roman" w:cs="Times New Roman"/>
                <w:sz w:val="24"/>
                <w:szCs w:val="24"/>
                <w:lang w:val="ru-RU"/>
              </w:rPr>
              <w:t xml:space="preserve"> І</w:t>
            </w:r>
            <w:proofErr w:type="gramStart"/>
            <w:r w:rsidRPr="00D93344">
              <w:rPr>
                <w:rFonts w:ascii="Times New Roman" w:eastAsia="Times New Roman" w:hAnsi="Times New Roman" w:cs="Times New Roman"/>
                <w:sz w:val="24"/>
                <w:szCs w:val="24"/>
                <w:lang w:val="ru-RU"/>
              </w:rPr>
              <w:t>н</w:t>
            </w:r>
            <w:proofErr w:type="gramEnd"/>
            <w:r w:rsidRPr="00D93344">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1265C" w:rsidRPr="00D93344" w:rsidRDefault="0061265C" w:rsidP="0061265C">
            <w:pPr>
              <w:shd w:val="clear" w:color="auto" w:fill="FFFFFF"/>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Умови договору про закупівлю не повинні ві</w:t>
            </w:r>
            <w:proofErr w:type="gramStart"/>
            <w:r w:rsidRPr="00D93344">
              <w:rPr>
                <w:rFonts w:ascii="Times New Roman" w:eastAsia="Times New Roman" w:hAnsi="Times New Roman" w:cs="Times New Roman"/>
                <w:sz w:val="24"/>
                <w:szCs w:val="24"/>
                <w:lang w:val="ru-RU"/>
              </w:rPr>
              <w:t>др</w:t>
            </w:r>
            <w:proofErr w:type="gramEnd"/>
            <w:r w:rsidRPr="00D93344">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sidRPr="00D93344">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93344">
              <w:rPr>
                <w:rFonts w:ascii="Times New Roman" w:eastAsia="Times New Roman" w:hAnsi="Times New Roman" w:cs="Times New Roman"/>
                <w:sz w:val="24"/>
                <w:szCs w:val="24"/>
                <w:lang w:val="ru-RU"/>
              </w:rPr>
              <w:t>ім випадків:</w:t>
            </w:r>
          </w:p>
          <w:p w:rsidR="0061265C" w:rsidRPr="00D9334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визначення </w:t>
            </w:r>
            <w:proofErr w:type="gramStart"/>
            <w:r w:rsidRPr="00D93344">
              <w:rPr>
                <w:rFonts w:ascii="Times New Roman" w:eastAsia="Times New Roman" w:hAnsi="Times New Roman" w:cs="Times New Roman"/>
                <w:sz w:val="24"/>
                <w:szCs w:val="24"/>
                <w:lang w:val="ru-RU"/>
              </w:rPr>
              <w:t>грошового</w:t>
            </w:r>
            <w:proofErr w:type="gramEnd"/>
            <w:r w:rsidRPr="00D93344">
              <w:rPr>
                <w:rFonts w:ascii="Times New Roman" w:eastAsia="Times New Roman" w:hAnsi="Times New Roman" w:cs="Times New Roman"/>
                <w:sz w:val="24"/>
                <w:szCs w:val="24"/>
                <w:lang w:val="ru-RU"/>
              </w:rPr>
              <w:t xml:space="preserve"> еквівалента зобов’язання в іноземній валюті;</w:t>
            </w:r>
          </w:p>
          <w:p w:rsidR="00C3065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перерахунку ціни в бік зменшення ціни тендерної пропозиції переможця </w:t>
            </w:r>
            <w:r w:rsidR="007A5DD6">
              <w:rPr>
                <w:rFonts w:ascii="Times New Roman" w:eastAsia="Times New Roman" w:hAnsi="Times New Roman" w:cs="Times New Roman"/>
                <w:sz w:val="24"/>
                <w:szCs w:val="24"/>
                <w:lang w:val="ru-RU"/>
              </w:rPr>
              <w:t>без зменшення обсягів закупі</w:t>
            </w:r>
            <w:proofErr w:type="gramStart"/>
            <w:r w:rsidR="007A5DD6">
              <w:rPr>
                <w:rFonts w:ascii="Times New Roman" w:eastAsia="Times New Roman" w:hAnsi="Times New Roman" w:cs="Times New Roman"/>
                <w:sz w:val="24"/>
                <w:szCs w:val="24"/>
                <w:lang w:val="ru-RU"/>
              </w:rPr>
              <w:t>вл</w:t>
            </w:r>
            <w:proofErr w:type="gramEnd"/>
            <w:r w:rsidR="007A5DD6">
              <w:rPr>
                <w:rFonts w:ascii="Times New Roman" w:eastAsia="Times New Roman" w:hAnsi="Times New Roman" w:cs="Times New Roman"/>
                <w:sz w:val="24"/>
                <w:szCs w:val="24"/>
                <w:lang w:val="ru-RU"/>
              </w:rPr>
              <w:t>і;</w:t>
            </w:r>
          </w:p>
          <w:p w:rsidR="007A5DD6" w:rsidRPr="00D93344" w:rsidRDefault="007A5DD6"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перерахунку ціни</w:t>
            </w:r>
            <w:r>
              <w:rPr>
                <w:rFonts w:ascii="Times New Roman" w:eastAsia="Times New Roman" w:hAnsi="Times New Roman" w:cs="Times New Roman"/>
                <w:sz w:val="24"/>
                <w:szCs w:val="24"/>
                <w:lang w:val="ru-RU"/>
              </w:rPr>
              <w:t xml:space="preserve">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r w:rsidR="00DD3D32">
              <w:rPr>
                <w:rFonts w:ascii="Times New Roman" w:eastAsia="Times New Roman" w:hAnsi="Times New Roman" w:cs="Times New Roman"/>
                <w:sz w:val="24"/>
                <w:szCs w:val="24"/>
                <w:lang w:val="ru-RU"/>
              </w:rPr>
              <w:t xml:space="preserve">  (для товарів)</w:t>
            </w:r>
            <w:r>
              <w:rPr>
                <w:rFonts w:ascii="Times New Roman" w:eastAsia="Times New Roman" w:hAnsi="Times New Roman" w:cs="Times New Roman"/>
                <w:sz w:val="24"/>
                <w:szCs w:val="24"/>
                <w:lang w:val="ru-RU"/>
              </w:rPr>
              <w:t>.</w:t>
            </w:r>
          </w:p>
        </w:tc>
      </w:tr>
      <w:tr w:rsidR="00C30654" w:rsidRPr="004F334C"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4F334C"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4F334C">
        <w:rPr>
          <w:rFonts w:ascii="Times New Roman" w:eastAsia="Calibri" w:hAnsi="Times New Roman" w:cs="Times New Roman"/>
          <w:sz w:val="24"/>
          <w:szCs w:val="24"/>
          <w:lang w:val="uk-UA"/>
        </w:rPr>
        <w:t xml:space="preserve">1. </w:t>
      </w:r>
      <w:r w:rsidRPr="004F334C">
        <w:rPr>
          <w:rFonts w:ascii="Times New Roman" w:eastAsia="Calibri" w:hAnsi="Times New Roman" w:cs="Times New Roman"/>
          <w:b/>
          <w:sz w:val="24"/>
          <w:szCs w:val="24"/>
          <w:lang w:val="uk-UA"/>
        </w:rPr>
        <w:t xml:space="preserve">Додаток </w:t>
      </w:r>
      <w:r w:rsidR="00AA4CB9" w:rsidRPr="004F334C">
        <w:rPr>
          <w:rFonts w:ascii="Times New Roman" w:eastAsia="Calibri" w:hAnsi="Times New Roman" w:cs="Times New Roman"/>
          <w:b/>
          <w:sz w:val="24"/>
          <w:szCs w:val="24"/>
          <w:lang w:val="uk-UA"/>
        </w:rPr>
        <w:t>№</w:t>
      </w:r>
      <w:r w:rsidR="00B21542" w:rsidRPr="004F334C">
        <w:rPr>
          <w:rFonts w:ascii="Times New Roman" w:eastAsia="Calibri" w:hAnsi="Times New Roman" w:cs="Times New Roman"/>
          <w:b/>
          <w:sz w:val="24"/>
          <w:szCs w:val="24"/>
          <w:lang w:val="uk-UA"/>
        </w:rPr>
        <w:t xml:space="preserve"> </w:t>
      </w:r>
      <w:r w:rsidRPr="004F334C">
        <w:rPr>
          <w:rFonts w:ascii="Times New Roman" w:eastAsia="Calibri" w:hAnsi="Times New Roman" w:cs="Times New Roman"/>
          <w:b/>
          <w:sz w:val="24"/>
          <w:szCs w:val="24"/>
          <w:lang w:val="uk-UA"/>
        </w:rPr>
        <w:t>1</w:t>
      </w:r>
      <w:r w:rsidRPr="004F334C">
        <w:rPr>
          <w:rFonts w:ascii="Times New Roman" w:eastAsia="Calibri" w:hAnsi="Times New Roman" w:cs="Times New Roman"/>
          <w:sz w:val="24"/>
          <w:szCs w:val="24"/>
          <w:lang w:val="uk-UA"/>
        </w:rPr>
        <w:t xml:space="preserve"> до тендерної документації </w:t>
      </w:r>
      <w:r w:rsidR="00284C06" w:rsidRPr="004F334C">
        <w:rPr>
          <w:rFonts w:ascii="Times New Roman" w:eastAsia="Calibri" w:hAnsi="Times New Roman" w:cs="Times New Roman"/>
          <w:sz w:val="24"/>
          <w:szCs w:val="24"/>
          <w:lang w:val="uk-UA"/>
        </w:rPr>
        <w:t xml:space="preserve">- </w:t>
      </w:r>
      <w:r w:rsidR="00AA4CB9" w:rsidRPr="004F334C">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4F334C">
        <w:rPr>
          <w:rFonts w:ascii="Times New Roman" w:eastAsia="Calibri" w:hAnsi="Times New Roman" w:cs="Times New Roman"/>
          <w:sz w:val="24"/>
          <w:szCs w:val="24"/>
          <w:lang w:val="uk-UA"/>
        </w:rPr>
        <w:t>нформацію про відповідальність У</w:t>
      </w:r>
      <w:r w:rsidR="00AA4CB9" w:rsidRPr="004F334C">
        <w:rPr>
          <w:rFonts w:ascii="Times New Roman" w:eastAsia="Calibri" w:hAnsi="Times New Roman" w:cs="Times New Roman"/>
          <w:sz w:val="24"/>
          <w:szCs w:val="24"/>
          <w:lang w:val="uk-UA"/>
        </w:rPr>
        <w:t xml:space="preserve">часників», </w:t>
      </w:r>
      <w:r w:rsidRPr="004F334C">
        <w:rPr>
          <w:rFonts w:ascii="Times New Roman" w:eastAsia="Calibri" w:hAnsi="Times New Roman" w:cs="Times New Roman"/>
          <w:sz w:val="24"/>
          <w:szCs w:val="24"/>
          <w:lang w:val="uk-UA"/>
        </w:rPr>
        <w:t xml:space="preserve">на </w:t>
      </w:r>
      <w:r w:rsidR="00835BD7" w:rsidRPr="004F334C">
        <w:rPr>
          <w:rFonts w:ascii="Times New Roman" w:eastAsia="Calibri" w:hAnsi="Times New Roman" w:cs="Times New Roman"/>
          <w:sz w:val="24"/>
          <w:szCs w:val="24"/>
          <w:lang w:val="uk-UA"/>
        </w:rPr>
        <w:t>1</w:t>
      </w:r>
      <w:r w:rsidR="00E60050" w:rsidRPr="004F334C">
        <w:rPr>
          <w:rFonts w:ascii="Times New Roman" w:eastAsia="Calibri" w:hAnsi="Times New Roman" w:cs="Times New Roman"/>
          <w:sz w:val="24"/>
          <w:szCs w:val="24"/>
          <w:lang w:val="uk-UA"/>
        </w:rPr>
        <w:t xml:space="preserve"> арк. в 1 прим.</w:t>
      </w:r>
      <w:r w:rsidRPr="004F334C">
        <w:rPr>
          <w:rFonts w:ascii="Times New Roman" w:eastAsia="Calibri" w:hAnsi="Times New Roman" w:cs="Times New Roman"/>
          <w:sz w:val="24"/>
          <w:szCs w:val="24"/>
          <w:lang w:val="uk-UA"/>
        </w:rPr>
        <w:t xml:space="preserve">                                </w:t>
      </w:r>
      <w:r w:rsidR="00E60050" w:rsidRPr="004F334C">
        <w:rPr>
          <w:rFonts w:ascii="Times New Roman" w:eastAsia="Calibri" w:hAnsi="Times New Roman" w:cs="Times New Roman"/>
          <w:sz w:val="24"/>
          <w:szCs w:val="24"/>
          <w:lang w:val="uk-UA"/>
        </w:rPr>
        <w:t xml:space="preserve">      </w:t>
      </w:r>
    </w:p>
    <w:p w:rsidR="00E60050" w:rsidRPr="004F334C"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4F334C">
        <w:rPr>
          <w:rFonts w:ascii="Times New Roman" w:eastAsia="Calibri" w:hAnsi="Times New Roman" w:cs="Times New Roman"/>
          <w:sz w:val="24"/>
          <w:szCs w:val="24"/>
          <w:lang w:val="uk-UA"/>
        </w:rPr>
        <w:t xml:space="preserve">2. </w:t>
      </w:r>
      <w:r w:rsidRPr="004F334C">
        <w:rPr>
          <w:rFonts w:ascii="Times New Roman" w:eastAsia="Calibri" w:hAnsi="Times New Roman" w:cs="Times New Roman"/>
          <w:b/>
          <w:sz w:val="24"/>
          <w:szCs w:val="24"/>
          <w:lang w:val="uk-UA"/>
        </w:rPr>
        <w:t xml:space="preserve">Додаток </w:t>
      </w:r>
      <w:r w:rsidR="00AA4CB9" w:rsidRPr="004F334C">
        <w:rPr>
          <w:rFonts w:ascii="Times New Roman" w:eastAsia="Calibri" w:hAnsi="Times New Roman" w:cs="Times New Roman"/>
          <w:b/>
          <w:sz w:val="24"/>
          <w:szCs w:val="24"/>
          <w:lang w:val="uk-UA"/>
        </w:rPr>
        <w:t>№</w:t>
      </w:r>
      <w:r w:rsidR="00B263DC" w:rsidRPr="004F334C">
        <w:rPr>
          <w:rFonts w:ascii="Times New Roman" w:eastAsia="Calibri" w:hAnsi="Times New Roman" w:cs="Times New Roman"/>
          <w:b/>
          <w:sz w:val="24"/>
          <w:szCs w:val="24"/>
          <w:lang w:val="uk-UA"/>
        </w:rPr>
        <w:t xml:space="preserve"> </w:t>
      </w:r>
      <w:r w:rsidR="00284C06" w:rsidRPr="004F334C">
        <w:rPr>
          <w:rFonts w:ascii="Times New Roman" w:eastAsia="Calibri" w:hAnsi="Times New Roman" w:cs="Times New Roman"/>
          <w:b/>
          <w:sz w:val="24"/>
          <w:szCs w:val="24"/>
          <w:lang w:val="uk-UA"/>
        </w:rPr>
        <w:t>2</w:t>
      </w:r>
      <w:r w:rsidR="00284C06" w:rsidRPr="004F334C">
        <w:rPr>
          <w:rFonts w:ascii="Times New Roman" w:eastAsia="Calibri" w:hAnsi="Times New Roman" w:cs="Times New Roman"/>
          <w:sz w:val="24"/>
          <w:szCs w:val="24"/>
          <w:lang w:val="uk-UA"/>
        </w:rPr>
        <w:t xml:space="preserve"> до тендерної документації - </w:t>
      </w:r>
      <w:r w:rsidR="00AA4CB9" w:rsidRPr="004F334C">
        <w:rPr>
          <w:rFonts w:ascii="Times New Roman" w:eastAsia="Calibri" w:hAnsi="Times New Roman" w:cs="Times New Roman"/>
          <w:sz w:val="24"/>
          <w:szCs w:val="24"/>
          <w:lang w:val="uk-UA"/>
        </w:rPr>
        <w:t>«</w:t>
      </w:r>
      <w:r w:rsidR="00A77FC5" w:rsidRPr="004F334C">
        <w:rPr>
          <w:rFonts w:ascii="Times New Roman" w:eastAsia="Calibri" w:hAnsi="Times New Roman" w:cs="Times New Roman"/>
          <w:sz w:val="24"/>
          <w:szCs w:val="24"/>
          <w:lang w:val="uk-UA"/>
        </w:rPr>
        <w:t>Перелік документів для підтвердження відповідності</w:t>
      </w:r>
      <w:r w:rsidR="00A56AEC" w:rsidRPr="004F334C">
        <w:rPr>
          <w:rFonts w:ascii="Times New Roman" w:eastAsia="Calibri" w:hAnsi="Times New Roman" w:cs="Times New Roman"/>
          <w:sz w:val="24"/>
          <w:szCs w:val="24"/>
          <w:lang w:val="uk-UA"/>
        </w:rPr>
        <w:t xml:space="preserve"> вимогам, визначеним у пункті 47</w:t>
      </w:r>
      <w:r w:rsidR="00A77FC5" w:rsidRPr="004F334C">
        <w:rPr>
          <w:rFonts w:ascii="Times New Roman" w:eastAsia="Calibri" w:hAnsi="Times New Roman" w:cs="Times New Roman"/>
          <w:sz w:val="24"/>
          <w:szCs w:val="24"/>
          <w:lang w:val="uk-UA"/>
        </w:rPr>
        <w:t xml:space="preserve"> Особливостей</w:t>
      </w:r>
      <w:r w:rsidR="00AA4CB9" w:rsidRPr="004F334C">
        <w:rPr>
          <w:rFonts w:ascii="Times New Roman" w:eastAsia="Calibri" w:hAnsi="Times New Roman" w:cs="Times New Roman"/>
          <w:sz w:val="24"/>
          <w:szCs w:val="24"/>
          <w:lang w:val="uk-UA"/>
        </w:rPr>
        <w:t xml:space="preserve">», </w:t>
      </w:r>
      <w:r w:rsidRPr="004F334C">
        <w:rPr>
          <w:rFonts w:ascii="Times New Roman" w:eastAsia="Calibri" w:hAnsi="Times New Roman" w:cs="Times New Roman"/>
          <w:sz w:val="24"/>
          <w:szCs w:val="24"/>
          <w:lang w:val="uk-UA"/>
        </w:rPr>
        <w:t xml:space="preserve">на </w:t>
      </w:r>
      <w:r w:rsidR="00C76C23" w:rsidRPr="004F334C">
        <w:rPr>
          <w:rFonts w:ascii="Times New Roman" w:eastAsia="Calibri" w:hAnsi="Times New Roman" w:cs="Times New Roman"/>
          <w:sz w:val="24"/>
          <w:szCs w:val="24"/>
          <w:lang w:val="uk-UA"/>
        </w:rPr>
        <w:t>6</w:t>
      </w:r>
      <w:r w:rsidR="00E60050" w:rsidRPr="004F334C">
        <w:rPr>
          <w:rFonts w:ascii="Times New Roman" w:eastAsia="Calibri" w:hAnsi="Times New Roman" w:cs="Times New Roman"/>
          <w:sz w:val="24"/>
          <w:szCs w:val="24"/>
          <w:lang w:val="uk-UA"/>
        </w:rPr>
        <w:t xml:space="preserve"> арк. в 1 прим.</w:t>
      </w:r>
      <w:r w:rsidRPr="004F334C">
        <w:rPr>
          <w:rFonts w:ascii="Times New Roman" w:eastAsia="Calibri" w:hAnsi="Times New Roman" w:cs="Times New Roman"/>
          <w:sz w:val="24"/>
          <w:szCs w:val="24"/>
          <w:lang w:val="uk-UA"/>
        </w:rPr>
        <w:t xml:space="preserve">                                       </w:t>
      </w:r>
    </w:p>
    <w:p w:rsidR="00E60050" w:rsidRPr="004F334C"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4F334C">
        <w:rPr>
          <w:rFonts w:ascii="Times New Roman" w:eastAsia="Calibri" w:hAnsi="Times New Roman" w:cs="Times New Roman"/>
          <w:sz w:val="24"/>
          <w:szCs w:val="24"/>
          <w:lang w:val="uk-UA"/>
        </w:rPr>
        <w:t xml:space="preserve">3. </w:t>
      </w:r>
      <w:r w:rsidRPr="004F334C">
        <w:rPr>
          <w:rFonts w:ascii="Times New Roman" w:eastAsia="Calibri" w:hAnsi="Times New Roman" w:cs="Times New Roman"/>
          <w:b/>
          <w:sz w:val="24"/>
          <w:szCs w:val="24"/>
          <w:lang w:val="uk-UA"/>
        </w:rPr>
        <w:t xml:space="preserve">Додаток </w:t>
      </w:r>
      <w:r w:rsidR="00AA4CB9" w:rsidRPr="004F334C">
        <w:rPr>
          <w:rFonts w:ascii="Times New Roman" w:eastAsia="Calibri" w:hAnsi="Times New Roman" w:cs="Times New Roman"/>
          <w:b/>
          <w:sz w:val="24"/>
          <w:szCs w:val="24"/>
          <w:lang w:val="uk-UA"/>
        </w:rPr>
        <w:t>№</w:t>
      </w:r>
      <w:r w:rsidR="00B21542" w:rsidRPr="004F334C">
        <w:rPr>
          <w:rFonts w:ascii="Times New Roman" w:eastAsia="Calibri" w:hAnsi="Times New Roman" w:cs="Times New Roman"/>
          <w:b/>
          <w:sz w:val="24"/>
          <w:szCs w:val="24"/>
          <w:lang w:val="uk-UA"/>
        </w:rPr>
        <w:t xml:space="preserve"> </w:t>
      </w:r>
      <w:r w:rsidRPr="004F334C">
        <w:rPr>
          <w:rFonts w:ascii="Times New Roman" w:eastAsia="Calibri" w:hAnsi="Times New Roman" w:cs="Times New Roman"/>
          <w:b/>
          <w:sz w:val="24"/>
          <w:szCs w:val="24"/>
          <w:lang w:val="uk-UA"/>
        </w:rPr>
        <w:t>3</w:t>
      </w:r>
      <w:r w:rsidRPr="004F334C">
        <w:rPr>
          <w:rFonts w:ascii="Times New Roman" w:eastAsia="Calibri" w:hAnsi="Times New Roman" w:cs="Times New Roman"/>
          <w:sz w:val="24"/>
          <w:szCs w:val="24"/>
          <w:lang w:val="uk-UA"/>
        </w:rPr>
        <w:t xml:space="preserve"> до тендерної документації </w:t>
      </w:r>
      <w:r w:rsidR="004637AB" w:rsidRPr="004F334C">
        <w:rPr>
          <w:rFonts w:ascii="Times New Roman" w:eastAsia="Calibri" w:hAnsi="Times New Roman" w:cs="Times New Roman"/>
          <w:sz w:val="24"/>
          <w:szCs w:val="24"/>
          <w:lang w:val="uk-UA"/>
        </w:rPr>
        <w:t xml:space="preserve">– «Інформація про технічні, якісні та кількісні </w:t>
      </w:r>
      <w:bookmarkStart w:id="4" w:name="_GoBack"/>
      <w:bookmarkEnd w:id="4"/>
      <w:r w:rsidR="004637AB" w:rsidRPr="004F334C">
        <w:rPr>
          <w:rFonts w:ascii="Times New Roman" w:eastAsia="Calibri" w:hAnsi="Times New Roman" w:cs="Times New Roman"/>
          <w:sz w:val="24"/>
          <w:szCs w:val="24"/>
          <w:lang w:val="uk-UA"/>
        </w:rPr>
        <w:t xml:space="preserve">характеристики предмета закупівлі», </w:t>
      </w:r>
      <w:r w:rsidRPr="004F334C">
        <w:rPr>
          <w:rFonts w:ascii="Times New Roman" w:eastAsia="Calibri" w:hAnsi="Times New Roman" w:cs="Times New Roman"/>
          <w:sz w:val="24"/>
          <w:szCs w:val="24"/>
          <w:lang w:val="uk-UA"/>
        </w:rPr>
        <w:t xml:space="preserve">на </w:t>
      </w:r>
      <w:r w:rsidR="004F334C" w:rsidRPr="004F334C">
        <w:rPr>
          <w:rFonts w:ascii="Times New Roman" w:eastAsia="Calibri" w:hAnsi="Times New Roman" w:cs="Times New Roman"/>
          <w:sz w:val="24"/>
          <w:szCs w:val="24"/>
          <w:lang w:val="uk-UA"/>
        </w:rPr>
        <w:t>3</w:t>
      </w:r>
      <w:r w:rsidRPr="004F334C">
        <w:rPr>
          <w:rFonts w:ascii="Times New Roman" w:eastAsia="Calibri" w:hAnsi="Times New Roman" w:cs="Times New Roman"/>
          <w:sz w:val="24"/>
          <w:szCs w:val="24"/>
          <w:lang w:val="uk-UA"/>
        </w:rPr>
        <w:t xml:space="preserve"> арк. в 1 прим</w:t>
      </w:r>
      <w:r w:rsidR="00AA4CB9" w:rsidRPr="004F334C">
        <w:rPr>
          <w:rFonts w:ascii="Times New Roman" w:eastAsia="Calibri" w:hAnsi="Times New Roman" w:cs="Times New Roman"/>
          <w:sz w:val="24"/>
          <w:szCs w:val="24"/>
          <w:lang w:val="uk-UA"/>
        </w:rPr>
        <w:t>.</w:t>
      </w:r>
      <w:r w:rsidR="00AF2385" w:rsidRPr="004F334C">
        <w:rPr>
          <w:rFonts w:ascii="Times New Roman" w:eastAsia="Calibri" w:hAnsi="Times New Roman" w:cs="Times New Roman"/>
          <w:sz w:val="24"/>
          <w:szCs w:val="24"/>
          <w:lang w:val="uk-UA"/>
        </w:rPr>
        <w:t xml:space="preserve">                                           </w:t>
      </w:r>
    </w:p>
    <w:p w:rsidR="000F627D" w:rsidRPr="00E76A56" w:rsidRDefault="00AF2385" w:rsidP="00E76A56">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4F334C">
        <w:rPr>
          <w:rFonts w:ascii="Times New Roman" w:eastAsia="Calibri" w:hAnsi="Times New Roman" w:cs="Times New Roman"/>
          <w:sz w:val="24"/>
          <w:szCs w:val="24"/>
          <w:lang w:val="uk-UA"/>
        </w:rPr>
        <w:t xml:space="preserve">4. </w:t>
      </w:r>
      <w:r w:rsidRPr="004F334C">
        <w:rPr>
          <w:rFonts w:ascii="Times New Roman" w:eastAsia="Calibri" w:hAnsi="Times New Roman" w:cs="Times New Roman"/>
          <w:b/>
          <w:sz w:val="24"/>
          <w:szCs w:val="24"/>
          <w:lang w:val="uk-UA"/>
        </w:rPr>
        <w:t xml:space="preserve">Додаток </w:t>
      </w:r>
      <w:r w:rsidR="00AA4CB9" w:rsidRPr="004F334C">
        <w:rPr>
          <w:rFonts w:ascii="Times New Roman" w:eastAsia="Calibri" w:hAnsi="Times New Roman" w:cs="Times New Roman"/>
          <w:b/>
          <w:sz w:val="24"/>
          <w:szCs w:val="24"/>
          <w:lang w:val="uk-UA"/>
        </w:rPr>
        <w:t>№</w:t>
      </w:r>
      <w:r w:rsidR="00B21542" w:rsidRPr="004F334C">
        <w:rPr>
          <w:rFonts w:ascii="Times New Roman" w:eastAsia="Calibri" w:hAnsi="Times New Roman" w:cs="Times New Roman"/>
          <w:b/>
          <w:sz w:val="24"/>
          <w:szCs w:val="24"/>
          <w:lang w:val="uk-UA"/>
        </w:rPr>
        <w:t xml:space="preserve"> </w:t>
      </w:r>
      <w:r w:rsidRPr="004F334C">
        <w:rPr>
          <w:rFonts w:ascii="Times New Roman" w:eastAsia="Calibri" w:hAnsi="Times New Roman" w:cs="Times New Roman"/>
          <w:b/>
          <w:sz w:val="24"/>
          <w:szCs w:val="24"/>
          <w:lang w:val="uk-UA"/>
        </w:rPr>
        <w:t>4</w:t>
      </w:r>
      <w:r w:rsidRPr="004F334C">
        <w:rPr>
          <w:rFonts w:ascii="Times New Roman" w:eastAsia="Calibri" w:hAnsi="Times New Roman" w:cs="Times New Roman"/>
          <w:sz w:val="24"/>
          <w:szCs w:val="24"/>
          <w:lang w:val="uk-UA"/>
        </w:rPr>
        <w:t xml:space="preserve"> до тендерної документації </w:t>
      </w:r>
      <w:r w:rsidR="004637AB" w:rsidRPr="004F334C">
        <w:rPr>
          <w:rFonts w:ascii="Times New Roman" w:eastAsia="Calibri" w:hAnsi="Times New Roman" w:cs="Times New Roman"/>
          <w:sz w:val="24"/>
          <w:szCs w:val="24"/>
          <w:lang w:val="uk-UA"/>
        </w:rPr>
        <w:t>– «Про</w:t>
      </w:r>
      <w:r w:rsidR="00C30654" w:rsidRPr="004F334C">
        <w:rPr>
          <w:rFonts w:ascii="Times New Roman" w:eastAsia="Calibri" w:hAnsi="Times New Roman" w:cs="Times New Roman"/>
          <w:sz w:val="24"/>
          <w:szCs w:val="24"/>
          <w:lang w:val="uk-UA"/>
        </w:rPr>
        <w:t>є</w:t>
      </w:r>
      <w:r w:rsidR="004637AB" w:rsidRPr="004F334C">
        <w:rPr>
          <w:rFonts w:ascii="Times New Roman" w:eastAsia="Calibri" w:hAnsi="Times New Roman" w:cs="Times New Roman"/>
          <w:sz w:val="24"/>
          <w:szCs w:val="24"/>
          <w:lang w:val="uk-UA"/>
        </w:rPr>
        <w:t xml:space="preserve">кт договору» </w:t>
      </w:r>
      <w:r w:rsidR="00E76A56" w:rsidRPr="004F334C">
        <w:rPr>
          <w:rFonts w:ascii="Times New Roman" w:eastAsia="Calibri" w:hAnsi="Times New Roman" w:cs="Times New Roman"/>
          <w:sz w:val="24"/>
          <w:szCs w:val="24"/>
          <w:lang w:val="uk-UA"/>
        </w:rPr>
        <w:t xml:space="preserve">на </w:t>
      </w:r>
      <w:r w:rsidR="00835BD7" w:rsidRPr="004F334C">
        <w:rPr>
          <w:rFonts w:ascii="Times New Roman" w:eastAsia="Calibri" w:hAnsi="Times New Roman" w:cs="Times New Roman"/>
          <w:sz w:val="24"/>
          <w:szCs w:val="24"/>
          <w:lang w:val="uk-UA"/>
        </w:rPr>
        <w:t>8</w:t>
      </w:r>
      <w:r w:rsidRPr="004F334C">
        <w:rPr>
          <w:rFonts w:ascii="Times New Roman" w:eastAsia="Calibri" w:hAnsi="Times New Roman" w:cs="Times New Roman"/>
          <w:sz w:val="24"/>
          <w:szCs w:val="24"/>
          <w:lang w:val="uk-UA"/>
        </w:rPr>
        <w:t xml:space="preserve"> арк. в 1 прим</w:t>
      </w:r>
      <w:r w:rsidR="00AA4CB9" w:rsidRPr="004F334C">
        <w:rPr>
          <w:rFonts w:ascii="Times New Roman" w:eastAsia="Calibri" w:hAnsi="Times New Roman" w:cs="Times New Roman"/>
          <w:sz w:val="24"/>
          <w:szCs w:val="24"/>
          <w:lang w:val="uk-UA"/>
        </w:rPr>
        <w:t>.</w:t>
      </w:r>
      <w:r w:rsidRPr="00E76A56">
        <w:rPr>
          <w:rFonts w:ascii="Times New Roman" w:eastAsia="Calibri" w:hAnsi="Times New Roman" w:cs="Times New Roman"/>
          <w:sz w:val="24"/>
          <w:szCs w:val="24"/>
          <w:lang w:val="uk-UA"/>
        </w:rPr>
        <w:t xml:space="preserve">                                         </w:t>
      </w:r>
    </w:p>
    <w:sectPr w:rsidR="000F627D" w:rsidRPr="00E76A56"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37" w:rsidRDefault="00F21C37">
      <w:pPr>
        <w:spacing w:after="0" w:line="240" w:lineRule="auto"/>
      </w:pPr>
      <w:r>
        <w:separator/>
      </w:r>
    </w:p>
  </w:endnote>
  <w:endnote w:type="continuationSeparator" w:id="0">
    <w:p w:rsidR="00F21C37" w:rsidRDefault="00F2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37" w:rsidRDefault="00F21C37">
      <w:pPr>
        <w:spacing w:after="0" w:line="240" w:lineRule="auto"/>
      </w:pPr>
      <w:r>
        <w:separator/>
      </w:r>
    </w:p>
  </w:footnote>
  <w:footnote w:type="continuationSeparator" w:id="0">
    <w:p w:rsidR="00F21C37" w:rsidRDefault="00F21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32437"/>
    <w:rsid w:val="0003285C"/>
    <w:rsid w:val="000347C0"/>
    <w:rsid w:val="000508AE"/>
    <w:rsid w:val="00062498"/>
    <w:rsid w:val="00063482"/>
    <w:rsid w:val="0008223E"/>
    <w:rsid w:val="00086574"/>
    <w:rsid w:val="00094478"/>
    <w:rsid w:val="000956F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09D8"/>
    <w:rsid w:val="002F77DA"/>
    <w:rsid w:val="003063B4"/>
    <w:rsid w:val="00314AF7"/>
    <w:rsid w:val="0031610D"/>
    <w:rsid w:val="00322B51"/>
    <w:rsid w:val="00326AF3"/>
    <w:rsid w:val="003344FB"/>
    <w:rsid w:val="00335D51"/>
    <w:rsid w:val="00335FDD"/>
    <w:rsid w:val="0034310A"/>
    <w:rsid w:val="003441F8"/>
    <w:rsid w:val="003444BE"/>
    <w:rsid w:val="00345F4E"/>
    <w:rsid w:val="003478B0"/>
    <w:rsid w:val="00354984"/>
    <w:rsid w:val="00360066"/>
    <w:rsid w:val="00365E71"/>
    <w:rsid w:val="00366493"/>
    <w:rsid w:val="003672C5"/>
    <w:rsid w:val="003677C8"/>
    <w:rsid w:val="00372BB1"/>
    <w:rsid w:val="0037426A"/>
    <w:rsid w:val="0037445A"/>
    <w:rsid w:val="003810E1"/>
    <w:rsid w:val="003822AB"/>
    <w:rsid w:val="00386095"/>
    <w:rsid w:val="00387ED1"/>
    <w:rsid w:val="003908F3"/>
    <w:rsid w:val="00393A0B"/>
    <w:rsid w:val="003976F3"/>
    <w:rsid w:val="003A40A7"/>
    <w:rsid w:val="003A65A0"/>
    <w:rsid w:val="003A6B9E"/>
    <w:rsid w:val="003B1D4E"/>
    <w:rsid w:val="003B4FF3"/>
    <w:rsid w:val="003B6756"/>
    <w:rsid w:val="003C264E"/>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40781"/>
    <w:rsid w:val="00447555"/>
    <w:rsid w:val="004519E7"/>
    <w:rsid w:val="00453F85"/>
    <w:rsid w:val="0045664E"/>
    <w:rsid w:val="004569F2"/>
    <w:rsid w:val="004637AB"/>
    <w:rsid w:val="00463D47"/>
    <w:rsid w:val="00466F05"/>
    <w:rsid w:val="0047322F"/>
    <w:rsid w:val="004737E0"/>
    <w:rsid w:val="004761E6"/>
    <w:rsid w:val="00481D25"/>
    <w:rsid w:val="0048544D"/>
    <w:rsid w:val="004A29C1"/>
    <w:rsid w:val="004B0ACB"/>
    <w:rsid w:val="004B5E3C"/>
    <w:rsid w:val="004B7930"/>
    <w:rsid w:val="004C3221"/>
    <w:rsid w:val="004C4BC8"/>
    <w:rsid w:val="004C7ED9"/>
    <w:rsid w:val="004E7ED6"/>
    <w:rsid w:val="004F334C"/>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265C"/>
    <w:rsid w:val="006141E9"/>
    <w:rsid w:val="006143F3"/>
    <w:rsid w:val="0062643B"/>
    <w:rsid w:val="0062681D"/>
    <w:rsid w:val="00626CBF"/>
    <w:rsid w:val="006318FF"/>
    <w:rsid w:val="00640097"/>
    <w:rsid w:val="00657D30"/>
    <w:rsid w:val="0066346F"/>
    <w:rsid w:val="0067496C"/>
    <w:rsid w:val="006756F7"/>
    <w:rsid w:val="00677132"/>
    <w:rsid w:val="00683157"/>
    <w:rsid w:val="00684B5F"/>
    <w:rsid w:val="00692A4E"/>
    <w:rsid w:val="006A085F"/>
    <w:rsid w:val="006A18A4"/>
    <w:rsid w:val="006A4D9D"/>
    <w:rsid w:val="006A52C8"/>
    <w:rsid w:val="006A5A8F"/>
    <w:rsid w:val="006B07C2"/>
    <w:rsid w:val="006C50B0"/>
    <w:rsid w:val="006D1579"/>
    <w:rsid w:val="006D2392"/>
    <w:rsid w:val="006D3069"/>
    <w:rsid w:val="006D6797"/>
    <w:rsid w:val="006F5055"/>
    <w:rsid w:val="006F56ED"/>
    <w:rsid w:val="006F7A15"/>
    <w:rsid w:val="00702096"/>
    <w:rsid w:val="00702493"/>
    <w:rsid w:val="00705C13"/>
    <w:rsid w:val="00705D38"/>
    <w:rsid w:val="00721B90"/>
    <w:rsid w:val="00725569"/>
    <w:rsid w:val="00730617"/>
    <w:rsid w:val="007319DC"/>
    <w:rsid w:val="007334D6"/>
    <w:rsid w:val="00733838"/>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35BD7"/>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5915"/>
    <w:rsid w:val="00A07C7B"/>
    <w:rsid w:val="00A07C8D"/>
    <w:rsid w:val="00A13275"/>
    <w:rsid w:val="00A16C62"/>
    <w:rsid w:val="00A2055D"/>
    <w:rsid w:val="00A272DD"/>
    <w:rsid w:val="00A40F11"/>
    <w:rsid w:val="00A52FCF"/>
    <w:rsid w:val="00A56AEC"/>
    <w:rsid w:val="00A6060E"/>
    <w:rsid w:val="00A63C4B"/>
    <w:rsid w:val="00A64551"/>
    <w:rsid w:val="00A663FF"/>
    <w:rsid w:val="00A77FC5"/>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D18B9"/>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39D"/>
    <w:rsid w:val="00C85D01"/>
    <w:rsid w:val="00CA4A86"/>
    <w:rsid w:val="00CA5FD9"/>
    <w:rsid w:val="00CA6B71"/>
    <w:rsid w:val="00CA7DEB"/>
    <w:rsid w:val="00CC1BB1"/>
    <w:rsid w:val="00CC1BB6"/>
    <w:rsid w:val="00CC5F5D"/>
    <w:rsid w:val="00CE1B3D"/>
    <w:rsid w:val="00CE3792"/>
    <w:rsid w:val="00CF3077"/>
    <w:rsid w:val="00CF6F6D"/>
    <w:rsid w:val="00CF7366"/>
    <w:rsid w:val="00D00A22"/>
    <w:rsid w:val="00D12A75"/>
    <w:rsid w:val="00D12C6E"/>
    <w:rsid w:val="00D350CE"/>
    <w:rsid w:val="00D37EEC"/>
    <w:rsid w:val="00D40A5D"/>
    <w:rsid w:val="00D500DF"/>
    <w:rsid w:val="00D55444"/>
    <w:rsid w:val="00D6472E"/>
    <w:rsid w:val="00D80638"/>
    <w:rsid w:val="00D832ED"/>
    <w:rsid w:val="00D870EF"/>
    <w:rsid w:val="00D9040C"/>
    <w:rsid w:val="00D93344"/>
    <w:rsid w:val="00D95961"/>
    <w:rsid w:val="00DA11E7"/>
    <w:rsid w:val="00DA3894"/>
    <w:rsid w:val="00DA5CD1"/>
    <w:rsid w:val="00DB52BB"/>
    <w:rsid w:val="00DB6F17"/>
    <w:rsid w:val="00DC39BB"/>
    <w:rsid w:val="00DC7D51"/>
    <w:rsid w:val="00DD0BAC"/>
    <w:rsid w:val="00DD3D32"/>
    <w:rsid w:val="00DD4173"/>
    <w:rsid w:val="00DD7AF4"/>
    <w:rsid w:val="00DE7A0D"/>
    <w:rsid w:val="00DF6265"/>
    <w:rsid w:val="00E01550"/>
    <w:rsid w:val="00E03DBC"/>
    <w:rsid w:val="00E04506"/>
    <w:rsid w:val="00E06A39"/>
    <w:rsid w:val="00E06EEE"/>
    <w:rsid w:val="00E07730"/>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4250"/>
    <w:rsid w:val="00E75650"/>
    <w:rsid w:val="00E76A56"/>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D7C97"/>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21220571">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mailto:zp.it@customs.gov.ua"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B4D6-2398-497C-91F7-92425D9D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25</Pages>
  <Words>36055</Words>
  <Characters>20552</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Скомароха Олександра Миколаївна</cp:lastModifiedBy>
  <cp:revision>16</cp:revision>
  <cp:lastPrinted>2023-11-21T08:09:00Z</cp:lastPrinted>
  <dcterms:created xsi:type="dcterms:W3CDTF">2022-08-10T07:02:00Z</dcterms:created>
  <dcterms:modified xsi:type="dcterms:W3CDTF">2023-11-21T08:09:00Z</dcterms:modified>
</cp:coreProperties>
</file>