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E8B7" w14:textId="13ED75F3" w:rsidR="00DC25E3" w:rsidRPr="00BC1664" w:rsidRDefault="00DC25E3" w:rsidP="00ED1DE0">
      <w:pPr>
        <w:pageBreakBefore/>
        <w:tabs>
          <w:tab w:val="left" w:pos="5921"/>
        </w:tabs>
        <w:jc w:val="right"/>
      </w:pPr>
      <w:bookmarkStart w:id="0" w:name="_GoBack"/>
      <w:bookmarkEnd w:id="0"/>
      <w:r w:rsidRPr="00BC1664">
        <w:t>Додаток 6</w:t>
      </w:r>
    </w:p>
    <w:p w14:paraId="4C5A901E" w14:textId="478D9A0A" w:rsidR="00DC25E3" w:rsidRPr="00BC1664" w:rsidRDefault="00713F34" w:rsidP="00DC25E3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ab/>
        <w:t xml:space="preserve">     </w:t>
      </w:r>
      <w:r w:rsidR="00DC25E3" w:rsidRPr="00BC1664">
        <w:rPr>
          <w:rFonts w:eastAsia="SimSun"/>
          <w:bCs/>
          <w:kern w:val="1"/>
          <w:lang w:eastAsia="hi-IN" w:bidi="hi-IN"/>
        </w:rPr>
        <w:t>тендерної документації</w:t>
      </w:r>
    </w:p>
    <w:p w14:paraId="4957BBFE" w14:textId="77777777" w:rsidR="00DC25E3" w:rsidRDefault="00DC25E3" w:rsidP="00DC25E3">
      <w:pPr>
        <w:tabs>
          <w:tab w:val="left" w:pos="5921"/>
        </w:tabs>
        <w:rPr>
          <w:b/>
        </w:rPr>
      </w:pPr>
    </w:p>
    <w:p w14:paraId="45D3EB18" w14:textId="77777777" w:rsidR="00DC25E3" w:rsidRDefault="00DC25E3" w:rsidP="00DC25E3">
      <w:pPr>
        <w:tabs>
          <w:tab w:val="left" w:pos="5921"/>
        </w:tabs>
        <w:rPr>
          <w:sz w:val="20"/>
          <w:szCs w:val="20"/>
        </w:rPr>
      </w:pPr>
    </w:p>
    <w:p w14:paraId="6DEEE02B" w14:textId="77777777" w:rsidR="00DC25E3" w:rsidRPr="00761F1E" w:rsidRDefault="00DC25E3" w:rsidP="00737D43">
      <w:pPr>
        <w:tabs>
          <w:tab w:val="left" w:pos="5921"/>
        </w:tabs>
        <w:jc w:val="center"/>
      </w:pPr>
      <w:r w:rsidRPr="00761F1E">
        <w:t>ЦІНОВА ПРОПОЗИЦІЯ</w:t>
      </w:r>
    </w:p>
    <w:p w14:paraId="3A1A3D8F" w14:textId="6EB94EEC" w:rsidR="00A663F4" w:rsidRPr="00761F1E" w:rsidRDefault="00DC25E3" w:rsidP="00A663F4">
      <w:pPr>
        <w:framePr w:hSpace="180" w:wrap="around" w:vAnchor="text" w:hAnchor="text" w:xAlign="right" w:y="1"/>
        <w:tabs>
          <w:tab w:val="left" w:pos="1134"/>
        </w:tabs>
        <w:suppressOverlap/>
        <w:jc w:val="both"/>
      </w:pPr>
      <w:r w:rsidRPr="00761F1E">
        <w:t xml:space="preserve">Ми, </w:t>
      </w:r>
      <w:r w:rsidRPr="00761F1E">
        <w:rPr>
          <w:color w:val="548DD4" w:themeColor="text2" w:themeTint="99"/>
        </w:rPr>
        <w:t>(назва Переможця)</w:t>
      </w:r>
      <w:r w:rsidRPr="00761F1E">
        <w:t>, надаємо свою цінову пропозицію для укладання Договору про закупівлю «</w:t>
      </w:r>
      <w:r w:rsidR="00A663F4" w:rsidRPr="00761F1E">
        <w:t>«Збір первинної соціологічної інформації омнібусного опитування на теми: «Визначення стану розвитку громадянського суспільства в місті Києві у воєнний та повоєнний періоди, зокрема, й участ</w:t>
      </w:r>
      <w:r w:rsidR="0046240B" w:rsidRPr="00761F1E">
        <w:t>і</w:t>
      </w:r>
      <w:r w:rsidR="00A663F4" w:rsidRPr="00761F1E">
        <w:t xml:space="preserve"> громадян у формуванні та реалізації державної та регіональної політики»  </w:t>
      </w:r>
    </w:p>
    <w:p w14:paraId="1BB85D76" w14:textId="77777777" w:rsidR="00A663F4" w:rsidRPr="00761F1E" w:rsidRDefault="00A663F4" w:rsidP="00A663F4">
      <w:pPr>
        <w:framePr w:hSpace="180" w:wrap="around" w:vAnchor="text" w:hAnchor="text" w:xAlign="right" w:y="1"/>
        <w:tabs>
          <w:tab w:val="left" w:pos="1134"/>
        </w:tabs>
        <w:suppressOverlap/>
        <w:jc w:val="both"/>
      </w:pPr>
      <w:r w:rsidRPr="00761F1E">
        <w:t xml:space="preserve">«Гендерний аналіз </w:t>
      </w:r>
      <w:proofErr w:type="spellStart"/>
      <w:r w:rsidRPr="00761F1E">
        <w:t>безпекових</w:t>
      </w:r>
      <w:proofErr w:type="spellEnd"/>
      <w:r w:rsidRPr="00761F1E">
        <w:t xml:space="preserve"> викликів у м. Києві: виявлення ресурсів та можливостей для запобігання та вчасного реагування на такі виклики»» </w:t>
      </w:r>
    </w:p>
    <w:p w14:paraId="1B6151E8" w14:textId="3AA985AF" w:rsidR="00DC25E3" w:rsidRPr="00310A33" w:rsidRDefault="00A663F4" w:rsidP="00A663F4">
      <w:pPr>
        <w:ind w:firstLine="708"/>
        <w:jc w:val="both"/>
        <w:rPr>
          <w:b/>
          <w:lang w:eastAsia="uk-UA"/>
        </w:rPr>
      </w:pPr>
      <w:r w:rsidRPr="00761F1E">
        <w:t xml:space="preserve">за кодом за ДК 021:2015 – 79320000-3 «Послуги з опитування громадської думки» </w:t>
      </w:r>
      <w:r w:rsidR="00DC25E3" w:rsidRPr="00761F1E">
        <w:t xml:space="preserve">(далі </w:t>
      </w:r>
      <w:r w:rsidR="00DC25E3" w:rsidRPr="00761F1E">
        <w:sym w:font="Symbol" w:char="F02D"/>
      </w:r>
      <w:r w:rsidR="00DC25E3" w:rsidRPr="00761F1E">
        <w:t xml:space="preserve"> </w:t>
      </w:r>
      <w:r w:rsidR="00F95C22" w:rsidRPr="00761F1E">
        <w:t>Послуга</w:t>
      </w:r>
      <w:r w:rsidR="00DC25E3" w:rsidRPr="00761F1E">
        <w:t>) згідно з Технічними, якісними та кількісними характеристиками</w:t>
      </w:r>
      <w:r w:rsidR="00DC25E3">
        <w:t xml:space="preserve"> до предмета закупівлі/ технічною специфікацією</w:t>
      </w:r>
      <w:r w:rsidR="00DC25E3" w:rsidRPr="00310A33">
        <w:t xml:space="preserve"> Замовника.</w:t>
      </w:r>
    </w:p>
    <w:p w14:paraId="7F9002CD" w14:textId="4EB2EFA0" w:rsidR="00DC25E3" w:rsidRDefault="00DC25E3" w:rsidP="00DC25E3">
      <w:pPr>
        <w:tabs>
          <w:tab w:val="left" w:pos="5921"/>
        </w:tabs>
        <w:ind w:firstLine="709"/>
        <w:jc w:val="both"/>
      </w:pPr>
      <w:r w:rsidRPr="00310A33">
        <w:t xml:space="preserve">Вивчивши тендерну документацію і вимоги щодо предмету закупівлі, на виконання зазначеного вище, </w:t>
      </w:r>
      <w:r>
        <w:t>ми, уповноважені на підписання Д</w:t>
      </w:r>
      <w:r w:rsidRPr="00310A33">
        <w:t>оговор</w:t>
      </w:r>
      <w:r>
        <w:t>у про закупівлю</w:t>
      </w:r>
      <w:r w:rsidRPr="00310A33">
        <w:t xml:space="preserve">, маємо можливість та погоджуємося </w:t>
      </w:r>
      <w:r w:rsidR="00F95C22">
        <w:t>надати Послуги</w:t>
      </w:r>
      <w:r w:rsidRPr="00310A33">
        <w:t xml:space="preserve"> та виконати вимоги Договору</w:t>
      </w:r>
      <w:r>
        <w:t xml:space="preserve"> про закупівлю</w:t>
      </w:r>
      <w:r w:rsidRPr="00310A33">
        <w:t xml:space="preserve">, за цінами, </w:t>
      </w:r>
      <w:r>
        <w:t>визначеними цією ціновою пропозицією:</w:t>
      </w:r>
    </w:p>
    <w:p w14:paraId="419FB7F9" w14:textId="2761A60C" w:rsidR="007A7922" w:rsidRDefault="007A7922" w:rsidP="00DC25E3">
      <w:pPr>
        <w:tabs>
          <w:tab w:val="left" w:pos="5921"/>
        </w:tabs>
        <w:ind w:firstLine="709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730"/>
        <w:gridCol w:w="1003"/>
        <w:gridCol w:w="1146"/>
        <w:gridCol w:w="1290"/>
        <w:gridCol w:w="1175"/>
      </w:tblGrid>
      <w:tr w:rsidR="007A7922" w:rsidRPr="00812B7B" w14:paraId="579C7B93" w14:textId="77777777" w:rsidTr="0073667B">
        <w:tc>
          <w:tcPr>
            <w:tcW w:w="430" w:type="dxa"/>
            <w:shd w:val="clear" w:color="auto" w:fill="auto"/>
            <w:vAlign w:val="center"/>
          </w:tcPr>
          <w:p w14:paraId="42563F96" w14:textId="77777777" w:rsidR="007A7922" w:rsidRPr="00812B7B" w:rsidRDefault="007A7922" w:rsidP="00A340E3">
            <w:pPr>
              <w:jc w:val="center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№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1D2292D" w14:textId="77777777" w:rsidR="007A7922" w:rsidRPr="00812B7B" w:rsidRDefault="007A7922" w:rsidP="00A340E3">
            <w:pPr>
              <w:jc w:val="center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Перелік Послуг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8241FE" w14:textId="77777777" w:rsidR="007A7922" w:rsidRPr="00812B7B" w:rsidRDefault="007A7922" w:rsidP="00A340E3">
            <w:pPr>
              <w:jc w:val="center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Од</w:t>
            </w:r>
            <w:proofErr w:type="spellStart"/>
            <w:r w:rsidRPr="00812B7B">
              <w:rPr>
                <w:sz w:val="20"/>
                <w:szCs w:val="20"/>
                <w:lang w:val="en-US"/>
              </w:rPr>
              <w:t>иниця</w:t>
            </w:r>
            <w:proofErr w:type="spellEnd"/>
            <w:r w:rsidRPr="00812B7B">
              <w:rPr>
                <w:sz w:val="20"/>
                <w:szCs w:val="20"/>
              </w:rPr>
              <w:t xml:space="preserve"> виміру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2A9247" w14:textId="77777777" w:rsidR="007A7922" w:rsidRPr="00812B7B" w:rsidRDefault="007A7922" w:rsidP="00A340E3">
            <w:pPr>
              <w:jc w:val="center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Кількість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23A9904" w14:textId="77777777" w:rsidR="007A7922" w:rsidRPr="00812B7B" w:rsidRDefault="007A7922" w:rsidP="00A340E3">
            <w:pPr>
              <w:jc w:val="center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 xml:space="preserve">Вартість з/без ПДВ, </w:t>
            </w:r>
            <w:proofErr w:type="spellStart"/>
            <w:r w:rsidRPr="00812B7B">
              <w:rPr>
                <w:sz w:val="20"/>
                <w:szCs w:val="20"/>
              </w:rPr>
              <w:t>грн</w:t>
            </w:r>
            <w:proofErr w:type="spellEnd"/>
            <w:r w:rsidRPr="00812B7B">
              <w:rPr>
                <w:sz w:val="20"/>
                <w:szCs w:val="20"/>
              </w:rPr>
              <w:t xml:space="preserve"> за од.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0D0598" w14:textId="77777777" w:rsidR="007A7922" w:rsidRPr="00812B7B" w:rsidRDefault="007A7922" w:rsidP="00A340E3">
            <w:pPr>
              <w:jc w:val="center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 xml:space="preserve">Сума з/без ПДВ </w:t>
            </w:r>
            <w:proofErr w:type="spellStart"/>
            <w:r w:rsidRPr="00812B7B">
              <w:rPr>
                <w:sz w:val="20"/>
                <w:szCs w:val="20"/>
              </w:rPr>
              <w:t>грн</w:t>
            </w:r>
            <w:proofErr w:type="spellEnd"/>
            <w:r w:rsidRPr="00812B7B">
              <w:rPr>
                <w:sz w:val="20"/>
                <w:szCs w:val="20"/>
              </w:rPr>
              <w:t xml:space="preserve"> за од.</w:t>
            </w:r>
          </w:p>
        </w:tc>
      </w:tr>
      <w:tr w:rsidR="0073667B" w:rsidRPr="00812B7B" w14:paraId="7C3EF2DE" w14:textId="77777777" w:rsidTr="0073667B">
        <w:trPr>
          <w:trHeight w:val="2018"/>
        </w:trPr>
        <w:tc>
          <w:tcPr>
            <w:tcW w:w="430" w:type="dxa"/>
            <w:shd w:val="clear" w:color="auto" w:fill="auto"/>
          </w:tcPr>
          <w:p w14:paraId="293D8AB3" w14:textId="77777777" w:rsidR="0073667B" w:rsidRPr="00812B7B" w:rsidRDefault="0073667B" w:rsidP="00A340E3">
            <w:pPr>
              <w:jc w:val="both"/>
              <w:rPr>
                <w:sz w:val="20"/>
                <w:szCs w:val="20"/>
                <w:lang w:eastAsia="uk-UA"/>
              </w:rPr>
            </w:pPr>
            <w:r w:rsidRPr="00812B7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30" w:type="dxa"/>
            <w:shd w:val="clear" w:color="auto" w:fill="auto"/>
          </w:tcPr>
          <w:p w14:paraId="3823186E" w14:textId="2EDB99AD" w:rsidR="0073667B" w:rsidRPr="0073667B" w:rsidRDefault="0073667B" w:rsidP="0073667B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  <w:r w:rsidRPr="0073667B">
              <w:rPr>
                <w:sz w:val="20"/>
                <w:szCs w:val="20"/>
              </w:rPr>
              <w:t xml:space="preserve">Опитування громадської думки киян на </w:t>
            </w:r>
            <w:r w:rsidRPr="0073667B">
              <w:rPr>
                <w:bCs/>
                <w:sz w:val="20"/>
                <w:szCs w:val="20"/>
              </w:rPr>
              <w:t xml:space="preserve">теми: «Визначення стану розвитку громадянського суспільства в місті Києві у воєнний та повоєнний періоди, зокрема, й участі громадян у формуванні та реалізації державної та регіональної політики»  </w:t>
            </w:r>
          </w:p>
          <w:p w14:paraId="356D154B" w14:textId="77777777" w:rsidR="0073667B" w:rsidRPr="0073667B" w:rsidRDefault="0073667B" w:rsidP="0073667B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  <w:r w:rsidRPr="0073667B">
              <w:rPr>
                <w:bCs/>
                <w:sz w:val="20"/>
                <w:szCs w:val="20"/>
              </w:rPr>
              <w:t xml:space="preserve">«Гендерний аналіз </w:t>
            </w:r>
            <w:proofErr w:type="spellStart"/>
            <w:r w:rsidRPr="0073667B">
              <w:rPr>
                <w:bCs/>
                <w:sz w:val="20"/>
                <w:szCs w:val="20"/>
              </w:rPr>
              <w:t>безпекових</w:t>
            </w:r>
            <w:proofErr w:type="spellEnd"/>
            <w:r w:rsidRPr="0073667B">
              <w:rPr>
                <w:bCs/>
                <w:sz w:val="20"/>
                <w:szCs w:val="20"/>
              </w:rPr>
              <w:t xml:space="preserve"> викликів у м. Києві: виявлення ресурсів та можливостей для запобігання та вчасного реагування на такі виклики»» </w:t>
            </w:r>
          </w:p>
          <w:p w14:paraId="755C02B1" w14:textId="77777777" w:rsidR="0073667B" w:rsidRDefault="0073667B" w:rsidP="00A340E3">
            <w:pPr>
              <w:jc w:val="both"/>
              <w:rPr>
                <w:bCs/>
                <w:sz w:val="20"/>
                <w:szCs w:val="20"/>
              </w:rPr>
            </w:pPr>
            <w:r w:rsidRPr="0073667B">
              <w:rPr>
                <w:bCs/>
                <w:sz w:val="20"/>
                <w:szCs w:val="20"/>
              </w:rPr>
              <w:t xml:space="preserve">обсяг вибірки – 2000 осіб </w:t>
            </w:r>
          </w:p>
          <w:p w14:paraId="38FEB5C4" w14:textId="2652FEC5" w:rsidR="0073667B" w:rsidRPr="00275727" w:rsidRDefault="0073667B" w:rsidP="00A340E3">
            <w:pPr>
              <w:jc w:val="both"/>
              <w:rPr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003" w:type="dxa"/>
            <w:shd w:val="clear" w:color="auto" w:fill="auto"/>
          </w:tcPr>
          <w:p w14:paraId="1E8FF7A6" w14:textId="77777777" w:rsidR="0073667B" w:rsidRPr="00812B7B" w:rsidRDefault="0073667B" w:rsidP="00A3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</w:t>
            </w:r>
          </w:p>
        </w:tc>
        <w:tc>
          <w:tcPr>
            <w:tcW w:w="1146" w:type="dxa"/>
            <w:shd w:val="clear" w:color="auto" w:fill="auto"/>
          </w:tcPr>
          <w:p w14:paraId="141C4DCF" w14:textId="77777777" w:rsidR="0073667B" w:rsidRPr="00812B7B" w:rsidRDefault="0073667B" w:rsidP="00A3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1CE1C203" w14:textId="77777777" w:rsidR="0073667B" w:rsidRPr="00812B7B" w:rsidRDefault="0073667B" w:rsidP="00A3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BDCAF54" w14:textId="77777777" w:rsidR="0073667B" w:rsidRPr="00812B7B" w:rsidRDefault="0073667B" w:rsidP="00A340E3">
            <w:pPr>
              <w:jc w:val="center"/>
              <w:rPr>
                <w:sz w:val="20"/>
                <w:szCs w:val="20"/>
              </w:rPr>
            </w:pPr>
          </w:p>
        </w:tc>
      </w:tr>
      <w:tr w:rsidR="007A7922" w:rsidRPr="00812B7B" w14:paraId="4F96C49B" w14:textId="77777777" w:rsidTr="0073667B">
        <w:trPr>
          <w:trHeight w:val="150"/>
        </w:trPr>
        <w:tc>
          <w:tcPr>
            <w:tcW w:w="8309" w:type="dxa"/>
            <w:gridSpan w:val="4"/>
            <w:vMerge w:val="restart"/>
            <w:shd w:val="clear" w:color="auto" w:fill="auto"/>
          </w:tcPr>
          <w:p w14:paraId="56E56629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Всього</w:t>
            </w:r>
          </w:p>
        </w:tc>
        <w:tc>
          <w:tcPr>
            <w:tcW w:w="1290" w:type="dxa"/>
            <w:shd w:val="clear" w:color="auto" w:fill="auto"/>
          </w:tcPr>
          <w:p w14:paraId="398D296F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без ПДВ:</w:t>
            </w:r>
          </w:p>
        </w:tc>
        <w:tc>
          <w:tcPr>
            <w:tcW w:w="1175" w:type="dxa"/>
            <w:shd w:val="clear" w:color="auto" w:fill="auto"/>
          </w:tcPr>
          <w:p w14:paraId="777B486F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812B7B" w14:paraId="76A981C2" w14:textId="77777777" w:rsidTr="0073667B">
        <w:trPr>
          <w:trHeight w:val="150"/>
        </w:trPr>
        <w:tc>
          <w:tcPr>
            <w:tcW w:w="8309" w:type="dxa"/>
            <w:gridSpan w:val="4"/>
            <w:vMerge/>
            <w:shd w:val="clear" w:color="auto" w:fill="auto"/>
          </w:tcPr>
          <w:p w14:paraId="660158EE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CBD8E82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ПДВ:</w:t>
            </w:r>
          </w:p>
        </w:tc>
        <w:tc>
          <w:tcPr>
            <w:tcW w:w="1175" w:type="dxa"/>
            <w:shd w:val="clear" w:color="auto" w:fill="auto"/>
          </w:tcPr>
          <w:p w14:paraId="6F10E837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812B7B" w14:paraId="624C8B30" w14:textId="77777777" w:rsidTr="0073667B">
        <w:trPr>
          <w:trHeight w:val="150"/>
        </w:trPr>
        <w:tc>
          <w:tcPr>
            <w:tcW w:w="8309" w:type="dxa"/>
            <w:gridSpan w:val="4"/>
            <w:vMerge/>
            <w:shd w:val="clear" w:color="auto" w:fill="auto"/>
          </w:tcPr>
          <w:p w14:paraId="5FE3F260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6D6334D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>з ПДВ:</w:t>
            </w:r>
          </w:p>
        </w:tc>
        <w:tc>
          <w:tcPr>
            <w:tcW w:w="1175" w:type="dxa"/>
            <w:shd w:val="clear" w:color="auto" w:fill="auto"/>
          </w:tcPr>
          <w:p w14:paraId="227AF66D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812B7B" w14:paraId="52AAE117" w14:textId="77777777" w:rsidTr="0073667B">
        <w:trPr>
          <w:trHeight w:val="227"/>
        </w:trPr>
        <w:tc>
          <w:tcPr>
            <w:tcW w:w="10774" w:type="dxa"/>
            <w:gridSpan w:val="6"/>
            <w:shd w:val="clear" w:color="auto" w:fill="auto"/>
          </w:tcPr>
          <w:p w14:paraId="2D84973E" w14:textId="77777777" w:rsidR="007A7922" w:rsidRPr="00812B7B" w:rsidRDefault="007A7922" w:rsidP="00A340E3">
            <w:pPr>
              <w:jc w:val="both"/>
              <w:rPr>
                <w:sz w:val="20"/>
                <w:szCs w:val="20"/>
              </w:rPr>
            </w:pPr>
            <w:r w:rsidRPr="00812B7B">
              <w:rPr>
                <w:sz w:val="20"/>
                <w:szCs w:val="20"/>
              </w:rPr>
              <w:t xml:space="preserve">Сума прописом: </w:t>
            </w:r>
            <w:r w:rsidRPr="00812B7B">
              <w:rPr>
                <w:bCs/>
                <w:sz w:val="20"/>
                <w:szCs w:val="20"/>
                <w:shd w:val="clear" w:color="auto" w:fill="FFFFFF"/>
              </w:rPr>
              <w:t xml:space="preserve">________ </w:t>
            </w:r>
            <w:proofErr w:type="spellStart"/>
            <w:r w:rsidRPr="00812B7B">
              <w:rPr>
                <w:bCs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812B7B">
              <w:rPr>
                <w:bCs/>
                <w:sz w:val="20"/>
                <w:szCs w:val="20"/>
                <w:shd w:val="clear" w:color="auto" w:fill="FFFFFF"/>
              </w:rPr>
              <w:t xml:space="preserve"> (</w:t>
            </w:r>
            <w:r w:rsidRPr="00812B7B">
              <w:rPr>
                <w:rStyle w:val="afc"/>
                <w:rFonts w:eastAsia="Calibri"/>
                <w:b w:val="0"/>
                <w:bCs w:val="0"/>
                <w:color w:val="000000"/>
                <w:sz w:val="20"/>
                <w:szCs w:val="20"/>
              </w:rPr>
              <w:t xml:space="preserve">_______________ гривень </w:t>
            </w:r>
            <w:proofErr w:type="spellStart"/>
            <w:r w:rsidRPr="00812B7B">
              <w:rPr>
                <w:rStyle w:val="afc"/>
                <w:rFonts w:eastAsia="Calibri"/>
                <w:b w:val="0"/>
                <w:bCs w:val="0"/>
                <w:color w:val="000000"/>
                <w:sz w:val="20"/>
                <w:szCs w:val="20"/>
              </w:rPr>
              <w:t>__ копій</w:t>
            </w:r>
            <w:proofErr w:type="spellEnd"/>
            <w:r w:rsidRPr="00812B7B">
              <w:rPr>
                <w:rStyle w:val="afc"/>
                <w:rFonts w:eastAsia="Calibri"/>
                <w:b w:val="0"/>
                <w:bCs w:val="0"/>
                <w:color w:val="000000"/>
                <w:sz w:val="20"/>
                <w:szCs w:val="20"/>
              </w:rPr>
              <w:t>ок</w:t>
            </w:r>
            <w:r w:rsidRPr="00812B7B">
              <w:rPr>
                <w:bCs/>
                <w:sz w:val="20"/>
                <w:szCs w:val="20"/>
                <w:shd w:val="clear" w:color="auto" w:fill="FFFFFF"/>
              </w:rPr>
              <w:t>), з/без ПДВ</w:t>
            </w:r>
          </w:p>
        </w:tc>
      </w:tr>
    </w:tbl>
    <w:p w14:paraId="682BE4FC" w14:textId="76FC9473" w:rsidR="007A7922" w:rsidRDefault="007A7922" w:rsidP="00DC25E3">
      <w:pPr>
        <w:tabs>
          <w:tab w:val="left" w:pos="5921"/>
        </w:tabs>
        <w:ind w:firstLine="709"/>
        <w:jc w:val="both"/>
      </w:pPr>
    </w:p>
    <w:p w14:paraId="52D7F81D" w14:textId="77777777" w:rsidR="007A7922" w:rsidRDefault="007A7922" w:rsidP="00DC25E3">
      <w:pPr>
        <w:tabs>
          <w:tab w:val="left" w:pos="5921"/>
        </w:tabs>
        <w:ind w:firstLine="709"/>
        <w:jc w:val="both"/>
      </w:pPr>
    </w:p>
    <w:p w14:paraId="62F16D2B" w14:textId="77777777" w:rsidR="00052E6F" w:rsidRDefault="00DC25E3" w:rsidP="00DC25E3">
      <w:pPr>
        <w:tabs>
          <w:tab w:val="left" w:pos="5921"/>
        </w:tabs>
      </w:pPr>
      <w:r w:rsidRPr="00F27863">
        <w:t xml:space="preserve">                                                       </w:t>
      </w:r>
    </w:p>
    <w:p w14:paraId="3214B5BE" w14:textId="77777777" w:rsidR="00DC25E3" w:rsidRPr="00310A33" w:rsidRDefault="00DC25E3" w:rsidP="00BC3B6A">
      <w:pPr>
        <w:pStyle w:val="af3"/>
        <w:numPr>
          <w:ilvl w:val="0"/>
          <w:numId w:val="7"/>
        </w:numPr>
        <w:tabs>
          <w:tab w:val="left" w:pos="993"/>
          <w:tab w:val="left" w:pos="5921"/>
        </w:tabs>
        <w:ind w:left="0" w:firstLine="709"/>
        <w:jc w:val="both"/>
      </w:pPr>
      <w:r w:rsidRPr="00310A33">
        <w:t>Ціна пропозиції включає в себе всі витрати, у тому числі сплату податків і зборів тощо.</w:t>
      </w:r>
    </w:p>
    <w:p w14:paraId="5F8CF72A" w14:textId="77777777" w:rsidR="00DC25E3" w:rsidRPr="00310A33" w:rsidRDefault="00DC25E3" w:rsidP="00BC3B6A">
      <w:pPr>
        <w:pStyle w:val="af3"/>
        <w:numPr>
          <w:ilvl w:val="0"/>
          <w:numId w:val="7"/>
        </w:numPr>
        <w:tabs>
          <w:tab w:val="left" w:pos="993"/>
          <w:tab w:val="left" w:pos="5921"/>
        </w:tabs>
        <w:ind w:left="0" w:firstLine="709"/>
        <w:jc w:val="both"/>
      </w:pPr>
      <w:r w:rsidRPr="00310A33">
        <w:t xml:space="preserve">Ми зобов’язуємося укласти договір про закупівлю не пізніше ніж через </w:t>
      </w:r>
      <w:r w:rsidRPr="00F17ABC">
        <w:t>15 днів</w:t>
      </w:r>
      <w:r w:rsidRPr="00310A33">
        <w:t xml:space="preserve"> з д</w:t>
      </w:r>
      <w:r>
        <w:t>ати</w:t>
      </w:r>
      <w:r w:rsidRPr="00310A33">
        <w:t xml:space="preserve"> прийняття рішення про намір укласти договір про закупівлю відповідно до вимог </w:t>
      </w:r>
      <w:r>
        <w:t>т</w:t>
      </w:r>
      <w:r w:rsidRPr="00310A33">
        <w:t xml:space="preserve">ендерної документації. З метою забезпечення права на оскарження рішень Замовника договір про закупівлю не може бути укладено раніше, ніж через </w:t>
      </w:r>
      <w:r>
        <w:t>5</w:t>
      </w:r>
      <w:r w:rsidRPr="00310A33">
        <w:t xml:space="preserve"> днів з дати оприлюднення на </w:t>
      </w:r>
      <w:proofErr w:type="spellStart"/>
      <w:r w:rsidRPr="00310A33">
        <w:t>веб-порталі</w:t>
      </w:r>
      <w:proofErr w:type="spellEnd"/>
      <w:r w:rsidRPr="00310A33">
        <w:t xml:space="preserve"> Уповноваженого органу повідомлення про намір укласти договір про закупівлю.</w:t>
      </w:r>
    </w:p>
    <w:p w14:paraId="3DF2E87D" w14:textId="77777777" w:rsidR="00DC25E3" w:rsidRPr="009D5F41" w:rsidRDefault="00DC25E3" w:rsidP="00DC25E3">
      <w:pPr>
        <w:pStyle w:val="af3"/>
        <w:tabs>
          <w:tab w:val="left" w:pos="5921"/>
        </w:tabs>
        <w:ind w:left="0"/>
        <w:jc w:val="both"/>
        <w:rPr>
          <w:i/>
          <w:sz w:val="16"/>
          <w:szCs w:val="16"/>
        </w:rPr>
      </w:pPr>
    </w:p>
    <w:p w14:paraId="376E4942" w14:textId="77777777" w:rsidR="00DC25E3" w:rsidRPr="00761F1E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  <w:rPr>
          <w:i/>
          <w:sz w:val="20"/>
          <w:szCs w:val="20"/>
        </w:rPr>
      </w:pPr>
      <w:r w:rsidRPr="00761F1E">
        <w:rPr>
          <w:i/>
          <w:sz w:val="20"/>
          <w:szCs w:val="20"/>
        </w:rPr>
        <w:t xml:space="preserve">Посада, прізвище, ініціали, власноручний підпис уповноваженої особи Учасника, </w:t>
      </w:r>
    </w:p>
    <w:p w14:paraId="1CFD3ACD" w14:textId="77777777" w:rsidR="00DC25E3" w:rsidRPr="00761F1E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  <w:rPr>
          <w:sz w:val="20"/>
          <w:szCs w:val="20"/>
        </w:rPr>
      </w:pPr>
      <w:r w:rsidRPr="00761F1E">
        <w:rPr>
          <w:i/>
          <w:sz w:val="20"/>
          <w:szCs w:val="20"/>
        </w:rPr>
        <w:t>(печатка у разі її використання)</w:t>
      </w:r>
      <w:r w:rsidRPr="00761F1E">
        <w:rPr>
          <w:sz w:val="20"/>
          <w:szCs w:val="20"/>
        </w:rPr>
        <w:t xml:space="preserve"> </w:t>
      </w:r>
    </w:p>
    <w:p w14:paraId="39C58B70" w14:textId="77777777" w:rsidR="00DC25E3" w:rsidRPr="00761F1E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  <w:rPr>
          <w:i/>
          <w:sz w:val="20"/>
          <w:szCs w:val="20"/>
        </w:rPr>
      </w:pPr>
      <w:r w:rsidRPr="00761F1E">
        <w:rPr>
          <w:i/>
          <w:sz w:val="20"/>
          <w:szCs w:val="20"/>
        </w:rPr>
        <w:t>(не вимагається підпис уповноваженої особи Учасника, якщо цей документ наданий у формі електронного документа через електронну систему закупівель із накладанням електронного підпису</w:t>
      </w:r>
    </w:p>
    <w:p w14:paraId="01924BCD" w14:textId="77777777" w:rsidR="0095675D" w:rsidRDefault="0095675D" w:rsidP="00D74E92">
      <w:pPr>
        <w:tabs>
          <w:tab w:val="left" w:pos="5921"/>
        </w:tabs>
        <w:spacing w:before="60" w:after="60" w:line="220" w:lineRule="atLeast"/>
        <w:ind w:right="-23"/>
        <w:rPr>
          <w:i/>
          <w:sz w:val="20"/>
          <w:szCs w:val="20"/>
        </w:rPr>
      </w:pPr>
    </w:p>
    <w:p w14:paraId="155C1E4C" w14:textId="17D2B53C" w:rsidR="00583198" w:rsidRPr="00761F1E" w:rsidRDefault="00C8736C" w:rsidP="00ED1DE0">
      <w:pPr>
        <w:suppressAutoHyphens/>
        <w:ind w:left="4248" w:firstLine="708"/>
        <w:jc w:val="center"/>
      </w:pPr>
      <w:r>
        <w:rPr>
          <w:b/>
          <w:lang w:eastAsia="ar-SA"/>
        </w:rPr>
        <w:t xml:space="preserve">   </w:t>
      </w:r>
    </w:p>
    <w:sectPr w:rsidR="00583198" w:rsidRPr="00761F1E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536E" w14:textId="77777777" w:rsidR="00F222F7" w:rsidRDefault="00F222F7">
      <w:r>
        <w:separator/>
      </w:r>
    </w:p>
  </w:endnote>
  <w:endnote w:type="continuationSeparator" w:id="0">
    <w:p w14:paraId="35C2D965" w14:textId="77777777" w:rsidR="00F222F7" w:rsidRDefault="00F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878" w14:textId="02A08877" w:rsidR="00CE7612" w:rsidRDefault="00CE76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14:paraId="30EBD274" w14:textId="77777777" w:rsidR="00CE7612" w:rsidRDefault="00CE76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82B4" w14:textId="77777777" w:rsidR="00CE7612" w:rsidRDefault="00CE76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3672C" w14:textId="77777777" w:rsidR="00F222F7" w:rsidRDefault="00F222F7">
      <w:r>
        <w:separator/>
      </w:r>
    </w:p>
  </w:footnote>
  <w:footnote w:type="continuationSeparator" w:id="0">
    <w:p w14:paraId="3FD70F8A" w14:textId="77777777" w:rsidR="00F222F7" w:rsidRDefault="00F2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092F5B"/>
    <w:multiLevelType w:val="hybridMultilevel"/>
    <w:tmpl w:val="6942950E"/>
    <w:lvl w:ilvl="0" w:tplc="039E2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4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3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5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50F"/>
    <w:multiLevelType w:val="multilevel"/>
    <w:tmpl w:val="17962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524015DE"/>
    <w:multiLevelType w:val="hybridMultilevel"/>
    <w:tmpl w:val="91829C2C"/>
    <w:lvl w:ilvl="0" w:tplc="FF5C3BB8">
      <w:start w:val="4"/>
      <w:numFmt w:val="upperRoman"/>
      <w:lvlText w:val="%1."/>
      <w:lvlJc w:val="left"/>
      <w:pPr>
        <w:ind w:left="93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9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2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5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6"/>
  </w:num>
  <w:num w:numId="5">
    <w:abstractNumId w:val="28"/>
  </w:num>
  <w:num w:numId="6">
    <w:abstractNumId w:val="33"/>
  </w:num>
  <w:num w:numId="7">
    <w:abstractNumId w:val="9"/>
  </w:num>
  <w:num w:numId="8">
    <w:abstractNumId w:val="24"/>
  </w:num>
  <w:num w:numId="9">
    <w:abstractNumId w:val="36"/>
  </w:num>
  <w:num w:numId="10">
    <w:abstractNumId w:val="12"/>
  </w:num>
  <w:num w:numId="11">
    <w:abstractNumId w:val="4"/>
  </w:num>
  <w:num w:numId="12">
    <w:abstractNumId w:val="19"/>
  </w:num>
  <w:num w:numId="13">
    <w:abstractNumId w:val="40"/>
  </w:num>
  <w:num w:numId="14">
    <w:abstractNumId w:val="29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1"/>
  </w:num>
  <w:num w:numId="18">
    <w:abstractNumId w:val="38"/>
  </w:num>
  <w:num w:numId="19">
    <w:abstractNumId w:val="26"/>
  </w:num>
  <w:num w:numId="20">
    <w:abstractNumId w:val="16"/>
  </w:num>
  <w:num w:numId="21">
    <w:abstractNumId w:val="35"/>
  </w:num>
  <w:num w:numId="22">
    <w:abstractNumId w:val="14"/>
  </w:num>
  <w:num w:numId="23">
    <w:abstractNumId w:val="15"/>
  </w:num>
  <w:num w:numId="24">
    <w:abstractNumId w:val="18"/>
  </w:num>
  <w:num w:numId="25">
    <w:abstractNumId w:val="25"/>
  </w:num>
  <w:num w:numId="26">
    <w:abstractNumId w:val="11"/>
  </w:num>
  <w:num w:numId="27">
    <w:abstractNumId w:val="21"/>
  </w:num>
  <w:num w:numId="28">
    <w:abstractNumId w:val="34"/>
  </w:num>
  <w:num w:numId="29">
    <w:abstractNumId w:val="20"/>
  </w:num>
  <w:num w:numId="30">
    <w:abstractNumId w:val="17"/>
  </w:num>
  <w:num w:numId="31">
    <w:abstractNumId w:val="37"/>
  </w:num>
  <w:num w:numId="32">
    <w:abstractNumId w:val="39"/>
  </w:num>
  <w:num w:numId="33">
    <w:abstractNumId w:val="30"/>
  </w:num>
  <w:num w:numId="34">
    <w:abstractNumId w:val="7"/>
  </w:num>
  <w:num w:numId="35">
    <w:abstractNumId w:val="41"/>
  </w:num>
  <w:num w:numId="36">
    <w:abstractNumId w:val="8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D90"/>
    <w:rsid w:val="00284054"/>
    <w:rsid w:val="002858C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1508"/>
    <w:rsid w:val="002A35D3"/>
    <w:rsid w:val="002A409D"/>
    <w:rsid w:val="002A40AB"/>
    <w:rsid w:val="002A6197"/>
    <w:rsid w:val="002A6232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E5F"/>
    <w:rsid w:val="0059726A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B15"/>
    <w:rsid w:val="005B5735"/>
    <w:rsid w:val="005B61B7"/>
    <w:rsid w:val="005B6486"/>
    <w:rsid w:val="005B6584"/>
    <w:rsid w:val="005B766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1F1E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41DF"/>
    <w:rsid w:val="007E4670"/>
    <w:rsid w:val="007E4D9B"/>
    <w:rsid w:val="007E5145"/>
    <w:rsid w:val="007E5308"/>
    <w:rsid w:val="007E5D0A"/>
    <w:rsid w:val="007E669C"/>
    <w:rsid w:val="007E7A92"/>
    <w:rsid w:val="007E7D76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5303"/>
    <w:rsid w:val="00AB5ADF"/>
    <w:rsid w:val="00AB5E73"/>
    <w:rsid w:val="00AB689E"/>
    <w:rsid w:val="00AB6933"/>
    <w:rsid w:val="00AB77BA"/>
    <w:rsid w:val="00AB7C0C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23FA"/>
    <w:rsid w:val="00C12CE1"/>
    <w:rsid w:val="00C12E10"/>
    <w:rsid w:val="00C12E6A"/>
    <w:rsid w:val="00C132BF"/>
    <w:rsid w:val="00C13E56"/>
    <w:rsid w:val="00C13FBF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50025"/>
    <w:rsid w:val="00C51E37"/>
    <w:rsid w:val="00C522AF"/>
    <w:rsid w:val="00C528BE"/>
    <w:rsid w:val="00C5296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E7612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1DE0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2F7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FD6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DD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60A7-97B7-4CE8-BD70-0AEFBE2C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2565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2021-02-11T09:12:00Z</cp:lastPrinted>
  <dcterms:created xsi:type="dcterms:W3CDTF">2023-06-20T10:22:00Z</dcterms:created>
  <dcterms:modified xsi:type="dcterms:W3CDTF">2023-06-20T10:22:00Z</dcterms:modified>
</cp:coreProperties>
</file>