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EE51" w14:textId="2C905B65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975559">
        <w:rPr>
          <w:rFonts w:ascii="Cambria" w:hAnsi="Cambria"/>
          <w:b/>
          <w:bCs/>
          <w:sz w:val="20"/>
          <w:szCs w:val="20"/>
          <w:lang w:val="uk-UA"/>
        </w:rPr>
        <w:t>7</w:t>
      </w:r>
    </w:p>
    <w:p w14:paraId="3B509715" w14:textId="77777777" w:rsidR="00D309DC" w:rsidRPr="000C5021" w:rsidRDefault="00D309DC" w:rsidP="00D309DC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1DC0CBA2" w14:textId="77777777" w:rsidR="00D309DC" w:rsidRPr="000C5021" w:rsidRDefault="00D309DC" w:rsidP="00D309DC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0850D8E0" w14:textId="77777777" w:rsidR="00D309DC" w:rsidRPr="000C5021" w:rsidRDefault="00D309DC" w:rsidP="00D309DC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209CC6BE" w14:textId="77777777" w:rsidR="00D309DC" w:rsidRPr="000C5021" w:rsidRDefault="00D309DC" w:rsidP="00D309DC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98137CC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2D465F9B" w14:textId="77777777" w:rsidR="00D309DC" w:rsidRPr="000C5021" w:rsidRDefault="00D309DC" w:rsidP="00D309DC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7FCE969F" w14:textId="4483F464" w:rsidR="00D309DC" w:rsidRPr="00E779C6" w:rsidRDefault="00D309DC" w:rsidP="00D309DC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E779C6">
        <w:rPr>
          <w:rFonts w:ascii="Cambria" w:hAnsi="Cambria"/>
          <w:sz w:val="20"/>
          <w:szCs w:val="20"/>
          <w:lang w:val="uk-UA"/>
        </w:rPr>
        <w:t xml:space="preserve">Ми, </w:t>
      </w:r>
      <w:r w:rsidRPr="00E779C6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E779C6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E779C6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="00F07102" w:rsidRPr="00142E26">
        <w:rPr>
          <w:rFonts w:ascii="Cambria" w:hAnsi="Cambria"/>
          <w:b/>
          <w:color w:val="000000"/>
          <w:sz w:val="20"/>
          <w:szCs w:val="20"/>
          <w:lang w:val="uk-UA"/>
        </w:rPr>
        <w:t xml:space="preserve">ДК 021:2015 – 71610000 - 7 «Послуги з випробувань та аналізу складу і чистоти» </w:t>
      </w:r>
      <w:r w:rsidR="00F07102" w:rsidRPr="00142E26">
        <w:rPr>
          <w:rFonts w:ascii="Cambria" w:hAnsi="Cambria"/>
          <w:b/>
          <w:sz w:val="20"/>
          <w:szCs w:val="20"/>
          <w:lang w:val="uk-UA"/>
        </w:rPr>
        <w:t>(</w:t>
      </w:r>
      <w:r w:rsidR="00530719" w:rsidRPr="00530719">
        <w:rPr>
          <w:rFonts w:ascii="Cambria" w:hAnsi="Cambria"/>
          <w:b/>
          <w:color w:val="000000"/>
          <w:sz w:val="20"/>
          <w:szCs w:val="20"/>
          <w:lang w:val="uk-UA"/>
        </w:rPr>
        <w:t>Дослідження нехарчової продукції: побутові лампи неспрямованого випромінення</w:t>
      </w:r>
      <w:r w:rsidR="00F07102" w:rsidRPr="00142E26">
        <w:rPr>
          <w:rFonts w:ascii="Cambria" w:hAnsi="Cambria"/>
          <w:b/>
          <w:sz w:val="20"/>
          <w:szCs w:val="20"/>
          <w:lang w:val="uk-UA"/>
        </w:rPr>
        <w:t>)</w:t>
      </w:r>
      <w:r w:rsidR="00E779C6" w:rsidRPr="00E779C6">
        <w:rPr>
          <w:rFonts w:ascii="Cambria" w:hAnsi="Cambria"/>
          <w:b/>
          <w:sz w:val="20"/>
          <w:szCs w:val="20"/>
          <w:lang w:val="uk-UA"/>
        </w:rPr>
        <w:t xml:space="preserve"> </w:t>
      </w:r>
      <w:r w:rsidRPr="00E779C6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33753F62" w14:textId="77777777" w:rsidR="00D309DC" w:rsidRPr="000C5021" w:rsidRDefault="00D309DC" w:rsidP="00D309DC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0C5021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0C5021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340D628D" w14:textId="77777777" w:rsidR="00D309DC" w:rsidRPr="000C5021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008A8DCC" w14:textId="77777777" w:rsidR="00D309DC" w:rsidRDefault="00D309DC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530719" w:rsidRPr="00B0207E" w14:paraId="67ACF926" w14:textId="77777777" w:rsidTr="00FD6381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9C6D0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Назва випробувань фізичних факторів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CF9C6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6DD19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CDC74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 з 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15D8" w14:textId="77777777" w:rsidR="00530719" w:rsidRPr="00B0207E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з ПДВ</w:t>
            </w:r>
          </w:p>
        </w:tc>
      </w:tr>
      <w:tr w:rsidR="00530719" w:rsidRPr="00B0207E" w14:paraId="18D14A70" w14:textId="77777777" w:rsidTr="00FD6381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F2668" w14:textId="77777777" w:rsidR="00530719" w:rsidRPr="00B0207E" w:rsidRDefault="00530719" w:rsidP="00FD6381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/>
              </w:rPr>
            </w:pPr>
            <w:r w:rsidRPr="00B923E2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Кількість досліджень:   1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30719" w:rsidRPr="00B0207E" w14:paraId="19971D13" w14:textId="77777777" w:rsidTr="00FD6381">
        <w:trPr>
          <w:trHeight w:val="16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5878" w14:textId="77777777" w:rsidR="00530719" w:rsidRPr="00F07102" w:rsidRDefault="00530719" w:rsidP="00FD6381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/>
              </w:rPr>
            </w:pPr>
            <w:r w:rsidRPr="00F07102">
              <w:rPr>
                <w:rFonts w:ascii="Cambria" w:hAnsi="Cambria"/>
                <w:bCs/>
                <w:color w:val="000000"/>
                <w:sz w:val="20"/>
                <w:szCs w:val="20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(</w:t>
            </w:r>
            <w:bookmarkStart w:id="1" w:name="_Hlk15837384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Дослідження нехарчової продукції: побутові лампи неспрямованого випромінення</w:t>
            </w:r>
            <w:bookmarkEnd w:id="1"/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CCC3" w14:textId="77777777" w:rsidR="00530719" w:rsidRPr="00F07102" w:rsidRDefault="00530719" w:rsidP="00FD6381">
            <w:pPr>
              <w:spacing w:after="200" w:line="276" w:lineRule="auto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Вимірювання ефективності споживання електроенергії 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ламп побутових неспрямованого випромінення на відповідність вимогам 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</w:t>
            </w:r>
            <w:r w:rsidRPr="00F07102">
              <w:rPr>
                <w:rFonts w:ascii="Cambria" w:hAnsi="Cambria"/>
                <w:bCs/>
                <w:sz w:val="20"/>
                <w:szCs w:val="20"/>
                <w:lang w:val="uk-UA"/>
              </w:rPr>
              <w:t>Технічного регламенту щодо вимог до екодизайну для побутових ламп неспрямованого випромінення</w:t>
            </w:r>
            <w:r>
              <w:rPr>
                <w:rFonts w:ascii="Cambria" w:hAnsi="Cambria"/>
                <w:bCs/>
                <w:sz w:val="20"/>
                <w:szCs w:val="20"/>
                <w:lang w:val="uk-UA"/>
              </w:rPr>
              <w:t xml:space="preserve"> (середній світловий потік та середня потужність для компактних люмінесцентних ламп та ламп розжарювання)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E2A" w14:textId="77777777" w:rsidR="00530719" w:rsidRPr="00450E2F" w:rsidRDefault="00530719" w:rsidP="00FD6381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uk-UA"/>
              </w:rPr>
              <w:t>1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B1302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524F2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</w:p>
        </w:tc>
      </w:tr>
      <w:tr w:rsidR="00530719" w:rsidRPr="00B0207E" w14:paraId="5ACC9E94" w14:textId="77777777" w:rsidTr="00FD6381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32E7A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AF097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8467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626B" w14:textId="77777777" w:rsidR="00530719" w:rsidRPr="00B0207E" w:rsidRDefault="00530719" w:rsidP="00FD6381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bookmarkEnd w:id="0"/>
    </w:tbl>
    <w:p w14:paraId="0BAD5552" w14:textId="77777777" w:rsidR="00E779C6" w:rsidRPr="000C5021" w:rsidRDefault="00E779C6" w:rsidP="00D309DC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p w14:paraId="091CF782" w14:textId="77777777" w:rsidR="00D309DC" w:rsidRPr="000C5021" w:rsidRDefault="00D309DC" w:rsidP="00D309DC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bCs/>
          <w:sz w:val="16"/>
          <w:szCs w:val="16"/>
          <w:lang w:val="uk-UA"/>
        </w:rPr>
        <w:t>Ціна*</w:t>
      </w:r>
      <w:r w:rsidRPr="000C5021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0C5021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0C5021">
        <w:rPr>
          <w:rFonts w:ascii="Cambria" w:hAnsi="Cambria"/>
          <w:sz w:val="16"/>
          <w:szCs w:val="16"/>
          <w:lang w:val="uk-UA"/>
        </w:rPr>
        <w:t>).</w:t>
      </w:r>
    </w:p>
    <w:p w14:paraId="374FDACB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D8969CD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  <w:r w:rsidRPr="000C5021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6BAC9EF5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585B13C4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39121C4C" w14:textId="77777777" w:rsidR="00D309DC" w:rsidRPr="000C5021" w:rsidRDefault="00D309DC" w:rsidP="00D309DC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309DC" w:rsidRPr="000C5021" w14:paraId="467AD43A" w14:textId="77777777" w:rsidTr="00545507">
        <w:tc>
          <w:tcPr>
            <w:tcW w:w="3341" w:type="dxa"/>
            <w:shd w:val="clear" w:color="auto" w:fill="auto"/>
          </w:tcPr>
          <w:p w14:paraId="06D45E23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C2C25FB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64B9C9A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309DC" w:rsidRPr="000C5021" w14:paraId="542B3152" w14:textId="77777777" w:rsidTr="00545507">
        <w:tc>
          <w:tcPr>
            <w:tcW w:w="3341" w:type="dxa"/>
            <w:shd w:val="clear" w:color="auto" w:fill="auto"/>
          </w:tcPr>
          <w:p w14:paraId="712CA1DD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84A9199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FC06D3A" w14:textId="77777777" w:rsidR="00D309DC" w:rsidRPr="000C5021" w:rsidRDefault="00D309DC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2937C3A" w14:textId="77777777" w:rsidR="000B51BE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F15F5F9" w14:textId="77777777" w:rsidR="00D309DC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4C64CA6" w14:textId="3910E6C6" w:rsidR="00D309DC" w:rsidRPr="000C5021" w:rsidRDefault="00D309DC" w:rsidP="000B51BE">
      <w:pPr>
        <w:pStyle w:val="a3"/>
        <w:rPr>
          <w:rFonts w:ascii="Cambria" w:hAnsi="Cambria"/>
          <w:sz w:val="19"/>
          <w:szCs w:val="19"/>
          <w:lang w:val="uk-UA"/>
        </w:rPr>
      </w:pPr>
      <w:r>
        <w:rPr>
          <w:rFonts w:ascii="Cambria" w:hAnsi="Cambria"/>
          <w:sz w:val="19"/>
          <w:szCs w:val="19"/>
          <w:lang w:val="uk-UA"/>
        </w:rPr>
        <w:t xml:space="preserve">Дата </w:t>
      </w: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530719"/>
    <w:rsid w:val="00695185"/>
    <w:rsid w:val="00702F75"/>
    <w:rsid w:val="0072797B"/>
    <w:rsid w:val="00975559"/>
    <w:rsid w:val="00B679B6"/>
    <w:rsid w:val="00C04B73"/>
    <w:rsid w:val="00C26454"/>
    <w:rsid w:val="00C45005"/>
    <w:rsid w:val="00CD4B5C"/>
    <w:rsid w:val="00D309DC"/>
    <w:rsid w:val="00E779C6"/>
    <w:rsid w:val="00F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">
    <w:name w:val="Обычный1"/>
    <w:uiPriority w:val="99"/>
    <w:rsid w:val="00E77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11</cp:revision>
  <cp:lastPrinted>2023-09-12T08:35:00Z</cp:lastPrinted>
  <dcterms:created xsi:type="dcterms:W3CDTF">2023-07-31T06:48:00Z</dcterms:created>
  <dcterms:modified xsi:type="dcterms:W3CDTF">2024-02-12T11:09:00Z</dcterms:modified>
</cp:coreProperties>
</file>