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240" w:after="0"/>
        <w:jc w:val="center"/>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FF0000"/>
          <w:sz w:val="28"/>
          <w:szCs w:val="28"/>
          <w:shd w:fill="FBFBFB" w:val="clear"/>
        </w:rPr>
        <w:t xml:space="preserve"> </w:t>
      </w:r>
    </w:p>
    <w:p>
      <w:pPr>
        <w:pStyle w:val="LO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LO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LOnormal"/>
        <w:spacing w:lineRule="auto" w:line="240" w:before="0" w:after="0"/>
        <w:ind w:left="-1418" w:hanging="0"/>
        <w:jc w:val="center"/>
        <w:rPr>
          <w:rFonts w:ascii="Times New Roman" w:hAnsi="Times New Roman" w:eastAsia="Times New Roman" w:cs="Times New Roman"/>
          <w:b/>
          <w:b/>
          <w:i w:val="false"/>
          <w:i w:val="false"/>
          <w:iCs w:val="false"/>
          <w:color w:val="auto"/>
          <w:kern w:val="0"/>
          <w:sz w:val="28"/>
          <w:szCs w:val="28"/>
          <w:shd w:fill="auto" w:val="clear"/>
          <w:lang w:val="uk-UA" w:eastAsia="zh-CN" w:bidi="hi-IN"/>
        </w:rPr>
      </w:pPr>
      <w:r>
        <w:rPr>
          <w:rFonts w:eastAsia="Times New Roman" w:cs="Times New Roman" w:ascii="Times New Roman" w:hAnsi="Times New Roman"/>
          <w:b/>
          <w:i w:val="false"/>
          <w:iCs w:val="false"/>
          <w:color w:val="000000"/>
          <w:kern w:val="0"/>
          <w:sz w:val="28"/>
          <w:szCs w:val="28"/>
          <w:shd w:fill="auto" w:val="clear"/>
          <w:lang w:val="uk-UA" w:eastAsia="zh-CN" w:bidi="hi-IN"/>
        </w:rPr>
        <w:t xml:space="preserve">              </w:t>
      </w:r>
      <w:r>
        <w:rPr>
          <w:rFonts w:eastAsia="Times New Roman" w:cs="Times New Roman" w:ascii="Times New Roman" w:hAnsi="Times New Roman"/>
          <w:b/>
          <w:i w:val="false"/>
          <w:iCs w:val="false"/>
          <w:color w:val="000000"/>
          <w:kern w:val="0"/>
          <w:sz w:val="28"/>
          <w:szCs w:val="28"/>
          <w:shd w:fill="auto" w:val="clear"/>
          <w:lang w:val="uk-UA" w:eastAsia="zh-CN" w:bidi="hi-IN"/>
        </w:rPr>
        <w:t>КОМУНАЛЬНЕ ПІДПРИЄМСТВО “СОКАЛЬЖИТЛОКОМУНСЕРВІС”</w:t>
      </w:r>
    </w:p>
    <w:p>
      <w:pPr>
        <w:pStyle w:val="LO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LOnormal"/>
        <w:spacing w:lineRule="auto" w:line="240" w:before="0" w:after="0"/>
        <w:ind w:left="-1418" w:hanging="0"/>
        <w:jc w:val="right"/>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LOnormal"/>
        <w:spacing w:lineRule="auto" w:line="240"/>
        <w:jc w:val="righ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КП “Сокальжитлокомунсервіс”</w:t>
      </w:r>
    </w:p>
    <w:p>
      <w:pPr>
        <w:pStyle w:val="LOnormal"/>
        <w:spacing w:lineRule="auto" w:line="240"/>
        <w:jc w:val="righ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від</w:t>
      </w:r>
      <w:r>
        <w:rPr>
          <w:rFonts w:ascii="Times New Roman" w:hAnsi="Times New Roman"/>
          <w:b/>
          <w:bCs/>
          <w:sz w:val="24"/>
          <w:szCs w:val="24"/>
        </w:rPr>
        <w:t xml:space="preserve"> </w:t>
      </w:r>
      <w:r>
        <w:rPr>
          <w:rFonts w:eastAsia="Calibri" w:cs="Calibri" w:ascii="Times New Roman" w:hAnsi="Times New Roman"/>
          <w:b/>
          <w:bCs/>
          <w:color w:val="auto"/>
          <w:kern w:val="0"/>
          <w:sz w:val="24"/>
          <w:szCs w:val="24"/>
          <w:lang w:val="uk-UA" w:eastAsia="zh-CN" w:bidi="hi-IN"/>
        </w:rPr>
        <w:t xml:space="preserve">05 лютого 2024 </w:t>
      </w:r>
      <w:r>
        <w:rPr>
          <w:rFonts w:ascii="Times New Roman" w:hAnsi="Times New Roman"/>
          <w:b/>
          <w:bCs/>
          <w:sz w:val="24"/>
          <w:szCs w:val="24"/>
        </w:rPr>
        <w:t xml:space="preserve"> року  № </w:t>
      </w:r>
      <w:r>
        <w:rPr>
          <w:rFonts w:ascii="Times New Roman" w:hAnsi="Times New Roman"/>
          <w:b/>
          <w:bCs/>
          <w:sz w:val="24"/>
          <w:szCs w:val="24"/>
        </w:rPr>
        <w:t>24</w:t>
      </w:r>
    </w:p>
    <w:p>
      <w:pPr>
        <w:pStyle w:val="LOnormal"/>
        <w:spacing w:lineRule="auto" w:line="240"/>
        <w:jc w:val="right"/>
        <w:rPr>
          <w:rFonts w:ascii="Times New Roman" w:hAnsi="Times New Roman"/>
          <w:b/>
          <w:b/>
          <w:bCs/>
          <w:sz w:val="24"/>
          <w:szCs w:val="24"/>
        </w:rPr>
      </w:pPr>
      <w:r>
        <w:rPr>
          <w:rFonts w:ascii="Times New Roman" w:hAnsi="Times New Roman"/>
          <w:b/>
          <w:bCs/>
          <w:sz w:val="24"/>
          <w:szCs w:val="24"/>
        </w:rPr>
        <w:t>Мочульська Людмила Олегівна</w:t>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LO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ascii="Times New Roman" w:hAnsi="Times New Roman"/>
          <w:b/>
          <w:bCs/>
          <w:sz w:val="24"/>
          <w:szCs w:val="24"/>
        </w:rPr>
        <w:t>(з особливостями)</w:t>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закупівлю товару</w:t>
      </w:r>
    </w:p>
    <w:p>
      <w:pPr>
        <w:pStyle w:val="LOnormal"/>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O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Природний газ, код 09120000-6 — Газове паливо</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p>
      <w:pPr>
        <w:pStyle w:val="LO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40" w:after="0"/>
        <w:rPr>
          <w:rFonts w:ascii="Times New Roman" w:hAnsi="Times New Roman" w:eastAsia="Times New Roman" w:cs="Times New Roman"/>
          <w:color w:val="000000"/>
          <w:sz w:val="24"/>
          <w:szCs w:val="24"/>
        </w:rPr>
      </w:pPr>
      <w:bookmarkStart w:id="2" w:name="_heading=h.gjdgxs2"/>
      <w:bookmarkEnd w:id="2"/>
      <w:r>
        <w:rPr>
          <w:rFonts w:eastAsia="Times New Roman" w:cs="Times New Roman" w:ascii="Times New Roman" w:hAnsi="Times New Roman"/>
          <w:color w:val="000000"/>
          <w:sz w:val="24"/>
          <w:szCs w:val="24"/>
        </w:rPr>
        <w:t> </w:t>
      </w:r>
    </w:p>
    <w:p>
      <w:pPr>
        <w:pStyle w:val="LOnormal"/>
        <w:spacing w:lineRule="auto" w:line="240" w:before="12" w:after="0"/>
        <w:jc w:val="center"/>
        <w:rPr>
          <w:rFonts w:ascii="Times New Roman" w:hAnsi="Times New Roman" w:eastAsia="Times New Roman" w:cs="Times New Roman"/>
          <w:color w:val="auto"/>
          <w:kern w:val="0"/>
          <w:sz w:val="24"/>
          <w:szCs w:val="24"/>
          <w:u w:val="none"/>
          <w:shd w:fill="auto" w:val="clear"/>
          <w:lang w:val="uk-UA" w:eastAsia="zh-CN" w:bidi="hi-IN"/>
        </w:rPr>
      </w:pPr>
      <w:r>
        <w:rPr>
          <w:rFonts w:eastAsia="Times New Roman" w:cs="Times New Roman" w:ascii="Times New Roman" w:hAnsi="Times New Roman"/>
          <w:color w:val="000000"/>
          <w:kern w:val="0"/>
          <w:sz w:val="24"/>
          <w:szCs w:val="24"/>
          <w:u w:val="none"/>
          <w:shd w:fill="auto" w:val="clear"/>
          <w:lang w:val="uk-UA" w:eastAsia="zh-CN" w:bidi="hi-IN"/>
        </w:rPr>
        <w:t>м. Сокаль</w:t>
      </w:r>
    </w:p>
    <w:p>
      <w:pPr>
        <w:pStyle w:val="LOnormal"/>
        <w:spacing w:lineRule="auto" w:line="240" w:before="12" w:after="0"/>
        <w:jc w:val="center"/>
        <w:rPr>
          <w:rFonts w:ascii="Times New Roman" w:hAnsi="Times New Roman" w:eastAsia="Times New Roman" w:cs="Times New Roman"/>
          <w:color w:val="auto"/>
          <w:kern w:val="0"/>
          <w:sz w:val="24"/>
          <w:szCs w:val="24"/>
          <w:u w:val="none"/>
          <w:shd w:fill="auto" w:val="clear"/>
          <w:lang w:val="uk-UA" w:eastAsia="zh-CN" w:bidi="hi-IN"/>
        </w:rPr>
      </w:pPr>
      <w:r>
        <w:rPr>
          <w:rFonts w:eastAsia="Times New Roman" w:cs="Times New Roman" w:ascii="Times New Roman" w:hAnsi="Times New Roman"/>
          <w:color w:val="000000"/>
          <w:kern w:val="0"/>
          <w:sz w:val="24"/>
          <w:szCs w:val="24"/>
          <w:u w:val="none"/>
          <w:shd w:fill="auto" w:val="clear"/>
          <w:lang w:val="uk-UA" w:eastAsia="zh-CN" w:bidi="hi-IN"/>
        </w:rPr>
        <w:t>202</w:t>
      </w:r>
      <w:r>
        <w:rPr>
          <w:rFonts w:eastAsia="Times New Roman" w:cs="Times New Roman" w:ascii="Times New Roman" w:hAnsi="Times New Roman"/>
          <w:color w:val="000000"/>
          <w:kern w:val="0"/>
          <w:sz w:val="24"/>
          <w:szCs w:val="24"/>
          <w:u w:val="none"/>
          <w:shd w:fill="auto" w:val="clear"/>
          <w:lang w:val="uk-UA" w:eastAsia="zh-CN" w:bidi="hi-IN"/>
        </w:rPr>
        <w:t>4</w:t>
      </w:r>
      <w:r>
        <w:rPr>
          <w:rFonts w:eastAsia="Times New Roman" w:cs="Times New Roman" w:ascii="Times New Roman" w:hAnsi="Times New Roman"/>
          <w:color w:val="000000"/>
          <w:kern w:val="0"/>
          <w:sz w:val="24"/>
          <w:szCs w:val="24"/>
          <w:u w:val="none"/>
          <w:shd w:fill="auto" w:val="clear"/>
          <w:lang w:val="uk-UA" w:eastAsia="zh-CN" w:bidi="hi-IN"/>
        </w:rPr>
        <w:t xml:space="preserve"> рік</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5"/>
        <w:gridCol w:w="2830"/>
        <w:gridCol w:w="642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eastAsia="Times New Roman" w:cs="Times New Roman" w:ascii="Times New Roman" w:hAnsi="Times New Roman"/>
                <w:sz w:val="24"/>
                <w:szCs w:val="24"/>
                <w:highlight w:val="white"/>
              </w:rPr>
              <w:t>(із змінами й доповненнями)</w:t>
            </w:r>
            <w:r>
              <w:rPr>
                <w:rFonts w:eastAsia="Times New Roman" w:cs="Times New Roman" w:ascii="Times New Roman" w:hAnsi="Times New Roman"/>
                <w:color w:val="00B050"/>
                <w:sz w:val="24"/>
                <w:szCs w:val="24"/>
                <w:highlight w:val="cyan"/>
              </w:rPr>
              <w:t xml:space="preserve"> </w:t>
            </w:r>
            <w:r>
              <w:rPr>
                <w:rFonts w:eastAsia="Times New Roman" w:cs="Times New Roman" w:ascii="Times New Roman" w:hAnsi="Times New Roman"/>
                <w:sz w:val="24"/>
                <w:szCs w:val="24"/>
              </w:rPr>
              <w:t xml:space="preserve">(далі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shd w:fill="auto" w:val="clear"/>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Особливостях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 інших вищенаведених нормативних актах.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rPr>
            </w:pPr>
            <w:r>
              <w:rPr>
                <w:rFonts w:cs="Times New Roman" w:ascii="Times New Roman" w:hAnsi="Times New Roman"/>
                <w:b/>
                <w:sz w:val="24"/>
                <w:szCs w:val="24"/>
              </w:rPr>
              <w:t>Комунальне підприємство «Сокальжитлокомунсервіс»</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eastAsia="Times New Roman" w:cs="Times New Roman"/>
                <w:sz w:val="24"/>
                <w:szCs w:val="24"/>
              </w:rPr>
            </w:pPr>
            <w:r>
              <w:rPr>
                <w:rFonts w:eastAsia="Times New Roman" w:cs="Times New Roman"/>
                <w:sz w:val="24"/>
                <w:szCs w:val="24"/>
              </w:rPr>
              <w:t>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bCs/>
                <w:sz w:val="24"/>
                <w:szCs w:val="24"/>
              </w:rPr>
            </w:pPr>
            <w:r>
              <w:rPr>
                <w:rFonts w:ascii="Times New Roman" w:hAnsi="Times New Roman"/>
                <w:b/>
                <w:bCs/>
                <w:sz w:val="24"/>
                <w:szCs w:val="24"/>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rPr>
                <w:rFonts w:ascii="Times New Roman" w:hAnsi="Times New Roman"/>
                <w:b/>
                <w:b/>
                <w:bCs/>
                <w:sz w:val="24"/>
                <w:szCs w:val="24"/>
              </w:rPr>
            </w:pPr>
            <w:r>
              <w:rPr>
                <w:b/>
                <w:bCs/>
                <w:sz w:val="24"/>
                <w:szCs w:val="24"/>
              </w:rPr>
              <w:t>вул. Героїв УПА 11, м. Сокаль, Львівська обл., 80001,</w:t>
            </w:r>
          </w:p>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тел. +380325773757,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Природний газ, код 09120000-6 — Газове паливо</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LOnormal"/>
              <w:widowControl w:val="false"/>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LOnormal"/>
              <w:widowControl w:val="fals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sz w:val="24"/>
                <w:szCs w:val="24"/>
              </w:rPr>
            </w:pPr>
            <w:r>
              <w:rPr>
                <w:rFonts w:ascii="Times New Roman" w:hAnsi="Times New Roman"/>
                <w:sz w:val="24"/>
                <w:szCs w:val="24"/>
              </w:rPr>
              <w:t xml:space="preserve">кількість товару та місце його поставки </w:t>
            </w:r>
          </w:p>
          <w:p>
            <w:pPr>
              <w:pStyle w:val="LOnormal"/>
              <w:widowControl w:val="false"/>
              <w:spacing w:before="0" w:after="160"/>
              <w:rPr>
                <w:rFonts w:ascii="Times New Roman" w:hAnsi="Times New Roman"/>
                <w:sz w:val="24"/>
                <w:szCs w:val="24"/>
              </w:rPr>
            </w:pPr>
            <w:r>
              <w:rPr>
                <w:rFonts w:ascii="Times New Roman" w:hAnsi="Times New Roman"/>
                <w:sz w:val="24"/>
                <w:szCs w:val="24"/>
              </w:rPr>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sz w:val="24"/>
                <w:szCs w:val="24"/>
              </w:rPr>
            </w:pPr>
            <w:r>
              <w:rPr>
                <w:rFonts w:ascii="Times New Roman" w:hAnsi="Times New Roman"/>
                <w:sz w:val="24"/>
                <w:szCs w:val="24"/>
              </w:rPr>
              <w:t>Кількість:</w:t>
            </w:r>
            <w:r>
              <w:rPr>
                <w:rFonts w:ascii="Times New Roman" w:hAnsi="Times New Roman"/>
                <w:sz w:val="24"/>
                <w:szCs w:val="24"/>
                <w:shd w:fill="auto" w:val="clear"/>
              </w:rPr>
              <w:t xml:space="preserve"> </w:t>
            </w:r>
            <w:r>
              <w:rPr>
                <w:rFonts w:ascii="Times New Roman" w:hAnsi="Times New Roman"/>
                <w:sz w:val="24"/>
                <w:szCs w:val="24"/>
                <w:shd w:fill="auto" w:val="clear"/>
              </w:rPr>
              <w:t>4</w:t>
            </w:r>
            <w:r>
              <w:rPr>
                <w:rFonts w:eastAsia="Calibri" w:cs="Calibri" w:ascii="Times New Roman" w:hAnsi="Times New Roman"/>
                <w:color w:val="000000"/>
                <w:kern w:val="0"/>
                <w:sz w:val="24"/>
                <w:szCs w:val="24"/>
                <w:shd w:fill="auto" w:val="clear"/>
                <w:lang w:val="uk-UA" w:eastAsia="zh-CN" w:bidi="hi-IN"/>
              </w:rPr>
              <w:t>000 м.куб.</w:t>
            </w:r>
          </w:p>
          <w:p>
            <w:pPr>
              <w:pStyle w:val="LOnormal"/>
              <w:widowControl w:val="false"/>
              <w:spacing w:before="0" w:after="160"/>
              <w:rPr>
                <w:rFonts w:ascii="Times New Roman" w:hAnsi="Times New Roman"/>
                <w:sz w:val="24"/>
                <w:szCs w:val="24"/>
              </w:rPr>
            </w:pPr>
            <w:r>
              <w:rPr>
                <w:rFonts w:ascii="Times New Roman" w:hAnsi="Times New Roman"/>
                <w:sz w:val="24"/>
                <w:szCs w:val="24"/>
              </w:rPr>
              <w:t xml:space="preserve">Місце поставки товарів: </w:t>
            </w:r>
            <w:r>
              <w:rPr>
                <w:rFonts w:ascii="Times New Roman" w:hAnsi="Times New Roman"/>
                <w:b/>
                <w:bCs/>
                <w:sz w:val="24"/>
                <w:szCs w:val="24"/>
              </w:rPr>
              <w:t>вул. Героїв УПА 11, м. Сокаль, Львівська обл., 80001</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sz w:val="24"/>
                <w:szCs w:val="24"/>
              </w:rPr>
            </w:pPr>
            <w:r>
              <w:rPr>
                <w:rFonts w:ascii="Times New Roman" w:hAnsi="Times New Roman"/>
                <w:sz w:val="24"/>
                <w:szCs w:val="24"/>
              </w:rPr>
              <w:t xml:space="preserve">Цілодобово з 01 березня 2024 року </w:t>
            </w:r>
            <w:r>
              <w:rPr>
                <w:rFonts w:ascii="Times New Roman" w:hAnsi="Times New Roman"/>
                <w:sz w:val="24"/>
                <w:szCs w:val="24"/>
              </w:rPr>
              <w:t>до 31 грудня  2024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LO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менш як на чотири дні</w:t>
            </w:r>
            <w:r>
              <w:rPr>
                <w:rFonts w:eastAsia="Times New Roman" w:cs="Times New Roman" w:ascii="Times New Roman" w:hAnsi="Times New Roman"/>
                <w:b/>
                <w:sz w:val="24"/>
                <w:szCs w:val="24"/>
                <w:highlight w:val="white"/>
              </w:rPr>
              <w:t>.</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LO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LO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LO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LO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LO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LO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LOnormal"/>
              <w:widowControl w:val="false"/>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1) документи мають бути чіткими та розбірливими для читання;</w:t>
            </w:r>
          </w:p>
          <w:p>
            <w:pPr>
              <w:pStyle w:val="LO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color w:val="000000"/>
                <w:sz w:val="24"/>
                <w:szCs w:val="24"/>
                <w:shd w:fill="auto" w:val="clear"/>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shd w:fill="auto" w:val="clear"/>
              </w:rPr>
              <w:t>сом (УЕП)</w:t>
            </w:r>
            <w:r>
              <w:rPr>
                <w:rFonts w:eastAsia="Times New Roman" w:cs="Times New Roman" w:ascii="Times New Roman" w:hAnsi="Times New Roman"/>
                <w:b/>
                <w:color w:val="000000"/>
                <w:sz w:val="24"/>
                <w:szCs w:val="24"/>
                <w:shd w:fill="auto" w:val="clear"/>
              </w:rPr>
              <w:t>;</w:t>
            </w:r>
          </w:p>
          <w:p>
            <w:pPr>
              <w:pStyle w:val="LOnormal"/>
              <w:widowControl w:val="false"/>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
              <w:widowControl w:val="false"/>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Винятки:</w:t>
            </w:r>
          </w:p>
          <w:p>
            <w:pPr>
              <w:pStyle w:val="LOnormal"/>
              <w:widowControl w:val="false"/>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
              <w:widowControl w:val="false"/>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LOnormal"/>
              <w:widowControl w:val="false"/>
              <w:ind w:left="40" w:hanging="20"/>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color w:val="000000"/>
                <w:sz w:val="24"/>
                <w:szCs w:val="24"/>
                <w:shd w:fill="auto" w:val="clear"/>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shd w:fill="auto" w:val="clear"/>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LOnormal"/>
              <w:widowControl w:val="false"/>
              <w:ind w:left="40" w:hanging="20"/>
              <w:jc w:val="both"/>
              <w:rPr>
                <w:rFonts w:ascii="Times New Roman" w:hAnsi="Times New Roman" w:eastAsia="Times New Roman" w:cs="Times New Roman"/>
                <w:b/>
                <w:b/>
                <w:color w:val="000000"/>
                <w:sz w:val="24"/>
                <w:szCs w:val="24"/>
                <w:shd w:fill="auto" w:val="clear"/>
              </w:rPr>
            </w:pPr>
            <w:r>
              <w:rPr>
                <w:rFonts w:eastAsia="Times New Roman" w:cs="Times New Roman" w:ascii="Times New Roman" w:hAnsi="Times New Roman"/>
                <w:b/>
                <w:color w:val="000000"/>
                <w:sz w:val="24"/>
                <w:szCs w:val="24"/>
                <w:shd w:fill="auto"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LOnormal"/>
              <w:widowControl w:val="false"/>
              <w:jc w:val="both"/>
              <w:rPr>
                <w:rFonts w:ascii="Times New Roman" w:hAnsi="Times New Roman" w:eastAsia="Times New Roman" w:cs="Times New Roman"/>
                <w:sz w:val="24"/>
                <w:szCs w:val="24"/>
                <w:shd w:fill="auto" w:val="clear"/>
              </w:rPr>
            </w:pPr>
            <w:bookmarkStart w:id="4" w:name="_heading=h.2et92p0"/>
            <w:bookmarkEnd w:id="4"/>
            <w:r>
              <w:rPr>
                <w:rFonts w:eastAsia="Times New Roman" w:cs="Times New Roman" w:ascii="Times New Roman" w:hAnsi="Times New Roman"/>
                <w:color w:val="000000"/>
                <w:sz w:val="24"/>
                <w:szCs w:val="24"/>
                <w:shd w:fill="auto" w:val="clear"/>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shd w:fill="auto" w:val="clear"/>
              </w:rPr>
              <w:t xml:space="preserve"> </w:t>
            </w:r>
          </w:p>
          <w:p>
            <w:pPr>
              <w:pStyle w:val="LOnormal"/>
              <w:widowControl w:val="false"/>
              <w:jc w:val="both"/>
              <w:rPr>
                <w:rFonts w:ascii="Times New Roman" w:hAnsi="Times New Roman" w:eastAsia="Times New Roman" w:cs="Times New Roman"/>
                <w:sz w:val="24"/>
                <w:szCs w:val="24"/>
                <w:shd w:fill="auto" w:val="clear"/>
              </w:rPr>
            </w:pPr>
            <w:bookmarkStart w:id="5" w:name="_heading=h.hjqm8skarbdr"/>
            <w:bookmarkEnd w:id="5"/>
            <w:r>
              <w:rPr>
                <w:rFonts w:eastAsia="Times New Roman" w:cs="Times New Roman" w:ascii="Times New Roman" w:hAnsi="Times New Roman"/>
                <w:sz w:val="24"/>
                <w:szCs w:val="24"/>
                <w:shd w:fill="auto" w:val="clear"/>
              </w:rPr>
              <w:t xml:space="preserve">Тендерні пропозиції мають право подавати всі заінтересовані особи. </w:t>
            </w:r>
          </w:p>
          <w:p>
            <w:pPr>
              <w:pStyle w:val="LO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auto" w:val="clear"/>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Не передбачається.</w:t>
            </w:r>
          </w:p>
          <w:p>
            <w:pPr>
              <w:pStyle w:val="LO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LOnormal"/>
              <w:widowControl w:val="false"/>
              <w:spacing w:before="0" w:after="160"/>
              <w:ind w:right="120" w:hanging="0"/>
              <w:jc w:val="both"/>
              <w:rPr>
                <w:rFonts w:ascii="Times New Roman" w:hAnsi="Times New Roman" w:eastAsia="Times New Roman" w:cs="Times New Roman"/>
                <w:i/>
                <w:i/>
                <w:sz w:val="24"/>
                <w:szCs w:val="24"/>
                <w:highlight w:val="cyan"/>
              </w:rPr>
            </w:pPr>
            <w:r>
              <w:rPr>
                <w:rFonts w:eastAsia="Times New Roman" w:cs="Times New Roman" w:ascii="Times New Roman" w:hAnsi="Times New Roman"/>
                <w:i/>
                <w:sz w:val="24"/>
                <w:szCs w:val="24"/>
                <w:highlight w:val="cyan"/>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LO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LO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 xml:space="preserve"> Особливостей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LO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
              <w:widowControl w:val="false"/>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LO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
              <w:widowControl w:val="false"/>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p>
            <w:pPr>
              <w:pStyle w:val="LO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Не передбачено. </w:t>
            </w:r>
            <w:r>
              <w:rPr>
                <w:rFonts w:eastAsia="Times New Roman" w:cs="Times New Roman" w:ascii="Times New Roman" w:hAnsi="Times New Roman"/>
                <w:color w:val="000000"/>
                <w:sz w:val="24"/>
                <w:szCs w:val="24"/>
                <w:highlight w:val="yellow"/>
              </w:rPr>
              <w:t xml:space="preserve"> </w:t>
            </w:r>
          </w:p>
          <w:p>
            <w:pPr>
              <w:pStyle w:val="LO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rFonts w:ascii="Times New Roman" w:hAnsi="Times New Roman"/>
                <w:sz w:val="24"/>
                <w:szCs w:val="24"/>
                <w:shd w:fill="auto" w:val="clear"/>
              </w:rPr>
            </w:pPr>
            <w:r>
              <w:rPr>
                <w:rFonts w:ascii="Times New Roman" w:hAnsi="Times New Roman"/>
                <w:b w:val="false"/>
                <w:bCs w:val="false"/>
                <w:sz w:val="24"/>
                <w:szCs w:val="24"/>
                <w:shd w:fill="auto" w:val="clear"/>
              </w:rPr>
              <w:t>Кінцевий строк подання тендерних пропозицій</w:t>
            </w:r>
            <w:r>
              <w:rPr>
                <w:rFonts w:ascii="Times New Roman" w:hAnsi="Times New Roman"/>
                <w:b/>
                <w:bCs/>
                <w:sz w:val="24"/>
                <w:szCs w:val="24"/>
                <w:shd w:fill="auto" w:val="clear"/>
              </w:rPr>
              <w:t xml:space="preserve"> — </w:t>
            </w:r>
            <w:r>
              <w:rPr>
                <w:rFonts w:ascii="Times New Roman" w:hAnsi="Times New Roman"/>
                <w:b/>
                <w:bCs/>
                <w:sz w:val="24"/>
                <w:szCs w:val="24"/>
                <w:shd w:fill="auto" w:val="clear"/>
              </w:rPr>
              <w:t>13</w:t>
            </w:r>
            <w:r>
              <w:rPr>
                <w:rFonts w:ascii="Times New Roman" w:hAnsi="Times New Roman"/>
                <w:b/>
                <w:bCs/>
                <w:sz w:val="24"/>
                <w:szCs w:val="24"/>
                <w:shd w:fill="auto" w:val="clear"/>
              </w:rPr>
              <w:t xml:space="preserve"> </w:t>
            </w:r>
            <w:r>
              <w:rPr>
                <w:rFonts w:ascii="Times New Roman" w:hAnsi="Times New Roman"/>
                <w:b/>
                <w:bCs/>
                <w:sz w:val="24"/>
                <w:szCs w:val="24"/>
                <w:shd w:fill="auto" w:val="clear"/>
              </w:rPr>
              <w:t>лютого</w:t>
            </w:r>
            <w:r>
              <w:rPr>
                <w:rFonts w:ascii="Times New Roman" w:hAnsi="Times New Roman"/>
                <w:b/>
                <w:bCs/>
                <w:sz w:val="24"/>
                <w:szCs w:val="24"/>
                <w:shd w:fill="auto" w:val="clear"/>
              </w:rPr>
              <w:t xml:space="preserve">  202</w:t>
            </w:r>
            <w:r>
              <w:rPr>
                <w:rFonts w:ascii="Times New Roman" w:hAnsi="Times New Roman"/>
                <w:b/>
                <w:bCs/>
                <w:sz w:val="24"/>
                <w:szCs w:val="24"/>
                <w:shd w:fill="auto" w:val="clear"/>
              </w:rPr>
              <w:t>4</w:t>
            </w:r>
            <w:r>
              <w:rPr>
                <w:rFonts w:ascii="Times New Roman" w:hAnsi="Times New Roman"/>
                <w:b/>
                <w:bCs/>
                <w:sz w:val="24"/>
                <w:szCs w:val="24"/>
                <w:shd w:fill="auto" w:val="clear"/>
              </w:rPr>
              <w:t xml:space="preserve">  року до 00:00 год. </w:t>
            </w:r>
          </w:p>
          <w:p>
            <w:pPr>
              <w:pStyle w:val="LOnormal"/>
              <w:widowControl w:val="false"/>
              <w:rPr>
                <w:rFonts w:ascii="Times New Roman" w:hAnsi="Times New Roman"/>
                <w:sz w:val="24"/>
                <w:szCs w:val="24"/>
              </w:rPr>
            </w:pPr>
            <w:r>
              <w:rPr>
                <w:rFonts w:ascii="Times New Roman" w:hAnsi="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
              <w:widowControl w:val="false"/>
              <w:shd w:val="clear"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LO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LO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
              <w:widowControl w:val="false"/>
              <w:jc w:val="both"/>
              <w:rPr/>
            </w:pPr>
            <w:r>
              <w:rPr>
                <w:rFonts w:eastAsia="Times New Roman" w:cs="Times New Roman" w:ascii="Times New Roman" w:hAnsi="Times New Roman"/>
                <w:sz w:val="24"/>
                <w:szCs w:val="24"/>
                <w:shd w:fill="auto" w:val="clear"/>
              </w:rPr>
              <w:t xml:space="preserve">Ціна тендерної пропозиції </w:t>
            </w:r>
            <w:r>
              <w:rPr>
                <w:rFonts w:ascii="Times New Roman" w:hAnsi="Times New Roman"/>
                <w:sz w:val="24"/>
                <w:szCs w:val="24"/>
              </w:rPr>
              <w:t xml:space="preserve"> не може</w:t>
            </w:r>
            <w:r>
              <w:rPr>
                <w:rFonts w:eastAsia="Times New Roman" w:cs="Times New Roman" w:ascii="Times New Roman" w:hAnsi="Times New Roman"/>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
              <w:widowControl w:val="false"/>
              <w:jc w:val="both"/>
              <w:rPr>
                <w:rFonts w:ascii="Times New Roman" w:hAnsi="Times New Roman"/>
                <w:sz w:val="24"/>
                <w:szCs w:val="24"/>
              </w:rPr>
            </w:pPr>
            <w:r>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
              <w:widowControl w:val="false"/>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pPr>
              <w:pStyle w:val="LOnormal"/>
              <w:widowControl w:val="false"/>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LOnormal"/>
              <w:widowControl w:val="false"/>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Розмір мінімального кроку пониження ціни під час електронного аукціону – </w:t>
            </w:r>
            <w:r>
              <w:rPr>
                <w:rFonts w:eastAsia="Times New Roman" w:cs="Times New Roman" w:ascii="Times New Roman" w:hAnsi="Times New Roman"/>
                <w:color w:val="000000"/>
                <w:kern w:val="0"/>
                <w:sz w:val="24"/>
                <w:szCs w:val="24"/>
                <w:shd w:fill="auto" w:val="clear"/>
                <w:lang w:val="uk-UA" w:eastAsia="zh-CN" w:bidi="hi-IN"/>
              </w:rPr>
              <w:t>0,5 %.</w:t>
            </w:r>
          </w:p>
          <w:p>
            <w:pPr>
              <w:pStyle w:val="LO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LOnormal"/>
              <w:keepNext w:val="true"/>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LOnormal"/>
              <w:keepNext w:val="true"/>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LO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LO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3.    Документи, що не передбачені законодавством для</w:t>
            </w:r>
            <w:r>
              <w:rPr>
                <w:rFonts w:eastAsia="Times New Roman" w:cs="Times New Roman" w:ascii="Times New Roman" w:hAnsi="Times New Roman"/>
                <w:color w:val="000000"/>
                <w:sz w:val="24"/>
                <w:szCs w:val="24"/>
              </w:rPr>
              <w:t xml:space="preserve">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w:t>
            </w:r>
            <w:r>
              <w:rPr>
                <w:rFonts w:eastAsia="Times New Roman" w:cs="Times New Roman" w:ascii="Times New Roman" w:hAnsi="Times New Roman"/>
                <w:color w:val="000000"/>
                <w:sz w:val="24"/>
                <w:szCs w:val="24"/>
              </w:rPr>
              <w:t>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
              <w:widowControl w:val="false"/>
              <w:jc w:val="both"/>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 xml:space="preserve">11. </w:t>
            </w:r>
            <w:r>
              <w:rPr>
                <w:rFonts w:eastAsia="Times New Roman" w:cs="Times New Roman" w:ascii="Times New Roman" w:hAnsi="Times New Roman"/>
                <w:sz w:val="24"/>
                <w:szCs w:val="24"/>
                <w:shd w:fill="auto" w:val="clear"/>
              </w:rPr>
              <w:t>Тендерна п</w:t>
            </w:r>
            <w:r>
              <w:rPr>
                <w:rFonts w:eastAsia="Times New Roman" w:cs="Times New Roman" w:ascii="Times New Roman" w:hAnsi="Times New Roman"/>
                <w:color w:val="000000"/>
                <w:sz w:val="24"/>
                <w:szCs w:val="24"/>
                <w:shd w:fill="auto" w:val="clear"/>
              </w:rPr>
              <w:t>ропозиція учасника може містити документи з водяними знаками.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w:t>
            </w:r>
            <w:r>
              <w:rPr>
                <w:rFonts w:ascii="Times New Roman" w:hAnsi="Times New Roman"/>
                <w:sz w:val="24"/>
                <w:szCs w:val="24"/>
              </w:rPr>
              <w:t>замовникам забороняється здійснювати публічні закупівлі то</w:t>
            </w:r>
            <w:r>
              <w:rPr>
                <w:rFonts w:eastAsia="Times New Roman" w:cs="Times New Roman" w:ascii="Times New Roman" w:hAnsi="Times New Roman"/>
                <w:sz w:val="24"/>
                <w:szCs w:val="24"/>
                <w:highlight w:val="white"/>
              </w:rPr>
              <w:t>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B050"/>
                <w:sz w:val="24"/>
                <w:szCs w:val="24"/>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LO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
              <w:widowControl w:val="false"/>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LO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LO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LO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LO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LO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LOnormal"/>
              <w:widowControl w:val="false"/>
              <w:spacing w:before="0" w:after="160"/>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1860" w:hRule="atLeast"/>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Onormal"/>
              <w:widowControl w:val="false"/>
              <w:spacing w:before="0" w:after="1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перерахунку ціни та обсягів товарів в бік зменшення за умови необхідності приведення обсягів товарів до кратності упаковки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LO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before="0" w:after="160"/>
              <w:rPr>
                <w:rFonts w:ascii="Times New Roman" w:hAnsi="Times New Roman"/>
                <w:sz w:val="24"/>
                <w:szCs w:val="24"/>
              </w:rPr>
            </w:pPr>
            <w:r>
              <w:rPr>
                <w:rFonts w:ascii="Times New Roman" w:hAnsi="Times New Roman"/>
                <w:sz w:val="24"/>
                <w:szCs w:val="24"/>
              </w:rPr>
              <w:t>Забезпечення виконання договору про закупівлю не вимагається.</w:t>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LO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shd w:fill="auto" w:val="clear"/>
        </w:rPr>
        <w:t>5 а</w:t>
      </w:r>
      <w:r>
        <w:rPr>
          <w:rFonts w:eastAsia="Times New Roman" w:cs="Times New Roman" w:ascii="Times New Roman" w:hAnsi="Times New Roman"/>
          <w:sz w:val="24"/>
          <w:szCs w:val="24"/>
          <w:shd w:fill="auto" w:val="clear"/>
        </w:rPr>
        <w:t>рк. в 1 прим.</w:t>
      </w:r>
    </w:p>
    <w:p>
      <w:pPr>
        <w:pStyle w:val="LO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2. Додаток 2 до тендерної документації на 2 арк. в 1 прим.</w:t>
      </w:r>
    </w:p>
    <w:p>
      <w:pPr>
        <w:pStyle w:val="LOnormal"/>
        <w:tabs>
          <w:tab w:val="clear" w:pos="720"/>
          <w:tab w:val="left" w:pos="7363" w:leader="none"/>
        </w:tabs>
        <w:spacing w:lineRule="auto" w:line="240"/>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 xml:space="preserve">3. Додаток 3 до тендерної документації на </w:t>
      </w:r>
      <w:r>
        <w:rPr>
          <w:rFonts w:eastAsia="Times New Roman" w:cs="Times New Roman" w:ascii="Times New Roman" w:hAnsi="Times New Roman"/>
          <w:sz w:val="24"/>
          <w:szCs w:val="24"/>
          <w:shd w:fill="auto" w:val="clear"/>
        </w:rPr>
        <w:t>1</w:t>
      </w:r>
      <w:r>
        <w:rPr>
          <w:rFonts w:eastAsia="Times New Roman" w:cs="Times New Roman" w:ascii="Times New Roman" w:hAnsi="Times New Roman"/>
          <w:sz w:val="24"/>
          <w:szCs w:val="24"/>
          <w:shd w:fill="auto" w:val="clear"/>
        </w:rPr>
        <w:t>3</w:t>
      </w:r>
      <w:r>
        <w:rPr>
          <w:rFonts w:eastAsia="Times New Roman" w:cs="Times New Roman" w:ascii="Times New Roman" w:hAnsi="Times New Roman"/>
          <w:sz w:val="24"/>
          <w:szCs w:val="24"/>
          <w:shd w:fill="auto" w:val="clear"/>
        </w:rPr>
        <w:t xml:space="preserve"> арк. в 1 прим</w:t>
      </w:r>
    </w:p>
    <w:p>
      <w:pPr>
        <w:pStyle w:val="LOnormal"/>
        <w:widowControl w:val="false"/>
        <w:tabs>
          <w:tab w:val="clear" w:pos="720"/>
          <w:tab w:val="left" w:pos="7363" w:leader="none"/>
        </w:tabs>
        <w:spacing w:lineRule="auto" w:line="240" w:before="0" w:after="0"/>
        <w:jc w:val="both"/>
        <w:rPr>
          <w:shd w:fill="auto" w:val="clear"/>
        </w:rPr>
      </w:pPr>
      <w:r>
        <w:rPr>
          <w:shd w:fill="auto" w:val="clear"/>
        </w:rPr>
        <w:t xml:space="preserve">                                                          </w:t>
      </w:r>
      <w:r>
        <w:rPr>
          <w:rFonts w:ascii="Times New Roman" w:hAnsi="Times New Roman"/>
          <w:shd w:fill="auto" w:val="clear"/>
        </w:rPr>
        <w:t>4. Додаток 4 до тендерної документації на 1 арк. в 1 прим.</w:t>
      </w:r>
    </w:p>
    <w:sectPr>
      <w:footerReference w:type="default" r:id="rId4"/>
      <w:footerReference w:type="first" r:id="rId5"/>
      <w:type w:val="nextPage"/>
      <w:pgSz w:w="11906" w:h="16838"/>
      <w:pgMar w:left="1417" w:right="850" w:header="0" w:top="566"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Times New Roman">
    <w:charset w:val="01"/>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0" w:after="160"/>
      <w:jc w:val="right"/>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character" w:styleId="Style8">
    <w:name w:val="Гіперпосилання"/>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LOnormal"/>
    <w:next w:val="LOnormal"/>
    <w:qFormat/>
    <w:pPr>
      <w:keepNext w:val="true"/>
      <w:keepLines/>
      <w:spacing w:lineRule="auto" w:line="240" w:before="480" w:after="120"/>
    </w:pPr>
    <w:rPr>
      <w:b/>
      <w:sz w:val="72"/>
      <w:szCs w:val="72"/>
    </w:rPr>
  </w:style>
  <w:style w:type="paragraph" w:styleId="Style15">
    <w:name w:val="Subtitle"/>
    <w:basedOn w:val="LOnormal"/>
    <w:next w:val="LO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6">
    <w:name w:val="Верхній і нижній колонтитули"/>
    <w:basedOn w:val="Normal"/>
    <w:qFormat/>
    <w:pPr/>
    <w:rPr/>
  </w:style>
  <w:style w:type="paragraph" w:styleId="Style17">
    <w:name w:val="Footer"/>
    <w:basedOn w:val="Style16"/>
    <w:pPr/>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128</TotalTime>
  <Application>LibreOffice/7.1.6.2$Windows_X86_64 LibreOffice_project/0e133318fcee89abacd6a7d077e292f1145735c3</Application>
  <AppVersion>15.0000</AppVersion>
  <Pages>25</Pages>
  <Words>6697</Words>
  <Characters>45687</Characters>
  <CharactersWithSpaces>52569</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2024-02-05T11:50:07Z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