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18" w:rsidRPr="00515FC3" w:rsidRDefault="00CB3F18" w:rsidP="00CB3F18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15FC3">
        <w:rPr>
          <w:rFonts w:ascii="Times New Roman" w:hAnsi="Times New Roman"/>
          <w:b/>
          <w:sz w:val="24"/>
          <w:szCs w:val="24"/>
        </w:rPr>
        <w:t>ДОДАТОК №2</w:t>
      </w:r>
    </w:p>
    <w:p w:rsidR="00423506" w:rsidRPr="00423506" w:rsidRDefault="00423506" w:rsidP="00423506">
      <w:pPr>
        <w:suppressAutoHyphens/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до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тендерноїдокументації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на</w:t>
      </w:r>
      <w:proofErr w:type="gramEnd"/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  <w:t xml:space="preserve"> товару</w:t>
      </w:r>
      <w:r w:rsidRPr="0042350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:</w:t>
      </w:r>
    </w:p>
    <w:p w:rsidR="00423506" w:rsidRPr="00423506" w:rsidRDefault="00423506" w:rsidP="00423506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</w:pPr>
      <w:proofErr w:type="spellStart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Продукція</w:t>
      </w:r>
      <w:proofErr w:type="spellEnd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чищення</w:t>
      </w:r>
      <w:proofErr w:type="spellEnd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Єдиним</w:t>
      </w:r>
      <w:proofErr w:type="spellEnd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словником </w:t>
      </w:r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ДК 021:2015- 39830000-9 – </w:t>
      </w:r>
      <w:proofErr w:type="spellStart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Продукція</w:t>
      </w:r>
      <w:proofErr w:type="spellEnd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чищення</w:t>
      </w:r>
      <w:proofErr w:type="spellEnd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 xml:space="preserve"> </w:t>
      </w:r>
    </w:p>
    <w:p w:rsidR="00423506" w:rsidRPr="00423506" w:rsidRDefault="00423506" w:rsidP="00423506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3506">
        <w:rPr>
          <w:rFonts w:ascii="Times New Roman" w:hAnsi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423506" w:rsidRPr="00423506" w:rsidRDefault="00423506" w:rsidP="00423506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0"/>
        </w:rPr>
      </w:pPr>
      <w:r w:rsidRPr="00423506">
        <w:rPr>
          <w:rFonts w:ascii="Times New Roman" w:hAnsi="Times New Roman"/>
          <w:b/>
          <w:bCs/>
          <w:iCs/>
          <w:color w:val="000000"/>
          <w:sz w:val="24"/>
          <w:szCs w:val="20"/>
        </w:rPr>
        <w:t>І. ТЕХНІЧНА СПЕЦИФІКАЦІЯ</w:t>
      </w:r>
    </w:p>
    <w:p w:rsidR="00423506" w:rsidRPr="00423506" w:rsidRDefault="00423506" w:rsidP="004235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23506">
        <w:rPr>
          <w:rFonts w:ascii="Times New Roman" w:hAnsi="Times New Roman"/>
          <w:bCs/>
          <w:iCs/>
          <w:color w:val="000000"/>
          <w:sz w:val="24"/>
          <w:szCs w:val="20"/>
        </w:rPr>
        <w:t xml:space="preserve">на закупівлю товару:  </w:t>
      </w:r>
      <w:proofErr w:type="spellStart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Продукція</w:t>
      </w:r>
      <w:proofErr w:type="spellEnd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чищення</w:t>
      </w:r>
      <w:proofErr w:type="spellEnd"/>
      <w:r w:rsidRPr="00423506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код за </w:t>
      </w:r>
      <w:proofErr w:type="spellStart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Єдиним</w:t>
      </w:r>
      <w:proofErr w:type="spellEnd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закупівельним</w:t>
      </w:r>
      <w:proofErr w:type="spellEnd"/>
      <w:r w:rsidRPr="00423506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 xml:space="preserve"> словником </w:t>
      </w:r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ДК 021:2015- 39830000-9 – </w:t>
      </w:r>
      <w:proofErr w:type="spellStart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Продукція</w:t>
      </w:r>
      <w:proofErr w:type="spellEnd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чищення</w:t>
      </w:r>
      <w:proofErr w:type="spellEnd"/>
      <w:r w:rsidRPr="00423506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 xml:space="preserve"> </w:t>
      </w:r>
    </w:p>
    <w:p w:rsidR="00423506" w:rsidRPr="00423506" w:rsidRDefault="00423506" w:rsidP="0042350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eastAsia="ar-SA"/>
        </w:rPr>
      </w:pPr>
    </w:p>
    <w:p w:rsidR="00423506" w:rsidRPr="00423506" w:rsidRDefault="00423506" w:rsidP="00423506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42350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1.1 Кількість та конкретна назва предмета товарів, які є предметом закупівлі вказані в таблиці 1.1. цього додатку. </w:t>
      </w:r>
    </w:p>
    <w:p w:rsidR="00423506" w:rsidRPr="00423506" w:rsidRDefault="00423506" w:rsidP="00423506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2350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Таблиця 1.1. </w:t>
      </w:r>
    </w:p>
    <w:tbl>
      <w:tblPr>
        <w:tblpPr w:leftFromText="180" w:rightFromText="180" w:vertAnchor="text" w:horzAnchor="margin" w:tblpXSpec="center" w:tblpY="228"/>
        <w:tblW w:w="25229" w:type="dxa"/>
        <w:tblLook w:val="04A0" w:firstRow="1" w:lastRow="0" w:firstColumn="1" w:lastColumn="0" w:noHBand="0" w:noVBand="1"/>
      </w:tblPr>
      <w:tblGrid>
        <w:gridCol w:w="675"/>
        <w:gridCol w:w="22716"/>
        <w:gridCol w:w="737"/>
        <w:gridCol w:w="1101"/>
      </w:tblGrid>
      <w:tr w:rsidR="00423506" w:rsidRPr="00423506" w:rsidTr="00496B9F">
        <w:trPr>
          <w:trHeight w:val="70"/>
        </w:trPr>
        <w:tc>
          <w:tcPr>
            <w:tcW w:w="675" w:type="dxa"/>
            <w:noWrap/>
            <w:vAlign w:val="bottom"/>
          </w:tcPr>
          <w:p w:rsidR="00423506" w:rsidRPr="00423506" w:rsidRDefault="00423506" w:rsidP="00423506">
            <w:pPr>
              <w:suppressAutoHyphens/>
              <w:spacing w:after="0"/>
              <w:rPr>
                <w:rFonts w:ascii="Times New Roman" w:eastAsia="Times New Roman" w:hAnsi="Times New Roman" w:cs="Arial"/>
                <w:color w:val="000000"/>
                <w:lang w:val="ru-RU" w:eastAsia="ru-RU"/>
              </w:rPr>
            </w:pPr>
          </w:p>
        </w:tc>
        <w:tc>
          <w:tcPr>
            <w:tcW w:w="22716" w:type="dxa"/>
            <w:noWrap/>
            <w:vAlign w:val="bottom"/>
            <w:hideMark/>
          </w:tcPr>
          <w:tbl>
            <w:tblPr>
              <w:tblpPr w:leftFromText="180" w:rightFromText="180" w:vertAnchor="text" w:horzAnchor="page" w:tblpX="5653" w:tblpY="24"/>
              <w:tblW w:w="13089" w:type="dxa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11024"/>
              <w:gridCol w:w="710"/>
              <w:gridCol w:w="897"/>
            </w:tblGrid>
            <w:tr w:rsidR="00423506" w:rsidRPr="00423506" w:rsidTr="00496B9F">
              <w:trPr>
                <w:trHeight w:val="80"/>
              </w:trPr>
              <w:tc>
                <w:tcPr>
                  <w:tcW w:w="236" w:type="dxa"/>
                  <w:noWrap/>
                  <w:vAlign w:val="bottom"/>
                </w:tcPr>
                <w:p w:rsidR="00423506" w:rsidRPr="00423506" w:rsidRDefault="00423506" w:rsidP="004235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423506" w:rsidRPr="00423506" w:rsidRDefault="00423506" w:rsidP="004235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024" w:type="dxa"/>
                  <w:noWrap/>
                  <w:vAlign w:val="bottom"/>
                </w:tcPr>
                <w:p w:rsidR="00423506" w:rsidRPr="00423506" w:rsidRDefault="00423506" w:rsidP="00423506">
                  <w:pPr>
                    <w:suppressAutoHyphens/>
                    <w:spacing w:after="0" w:line="312" w:lineRule="auto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23506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tbl>
                  <w:tblPr>
                    <w:tblW w:w="102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1"/>
                    <w:gridCol w:w="4786"/>
                    <w:gridCol w:w="1134"/>
                    <w:gridCol w:w="3686"/>
                  </w:tblGrid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/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/>
                          <w:ind w:left="1404"/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Найменування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Кількість</w:t>
                        </w:r>
                        <w:proofErr w:type="spellEnd"/>
                      </w:p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Порошок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пральний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автомат  (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Tide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Ariel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Persil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або еквівалент) 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– упаковка: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щільний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поліетиленовий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пакет вагою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від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5 до 10 кг.)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1000</w:t>
                        </w: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Засіб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для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миття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скла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з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розпилювачем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500 мл (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SAMA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CLIN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або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еквівалент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20</w:t>
                        </w: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Сода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кальцинована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фасування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паперових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пачках  700 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   </w:t>
                        </w: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0</w:t>
                        </w: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Засіб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для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миття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посуду 500 мл </w:t>
                        </w:r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( </w:t>
                        </w:r>
                        <w:proofErr w:type="gram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Gala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, С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arma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або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еквівалент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20</w:t>
                        </w: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Засіб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для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видалення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вапняного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нальоту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та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іржі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1000 мл (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Сантрі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– гель)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260</w:t>
                        </w: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Засіб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чи</w:t>
                        </w:r>
                        <w:proofErr w:type="spellEnd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proofErr w:type="spellStart"/>
                        <w:proofErr w:type="gram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тячий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порошкоподібний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(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Gala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, С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arma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або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еквівалент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    кг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0</w:t>
                        </w:r>
                      </w:p>
                    </w:tc>
                  </w:tr>
                  <w:tr w:rsidR="00423506" w:rsidRPr="00423506" w:rsidTr="00496B9F">
                    <w:trPr>
                      <w:trHeight w:val="471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Засіб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</w:t>
                        </w:r>
                        <w:proofErr w:type="gram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ідкий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відбілюючий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1000 мл (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Білизна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 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SAMA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або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еквівалент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</w:tr>
                  <w:tr w:rsidR="00423506" w:rsidRPr="00423506" w:rsidTr="00496B9F">
                    <w:trPr>
                      <w:trHeight w:val="1027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Засіб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для чистки труб 1000 мл (</w:t>
                        </w: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Кр</w:t>
                        </w:r>
                        <w:proofErr w:type="gram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іт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або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еквівалент</w:t>
                        </w:r>
                        <w:proofErr w:type="spellEnd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proofErr w:type="gramStart"/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506" w:rsidRPr="00423506" w:rsidRDefault="00423506" w:rsidP="00423506">
                        <w:pPr>
                          <w:framePr w:hSpace="180" w:wrap="around" w:vAnchor="text" w:hAnchor="margin" w:xAlign="center" w:y="228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 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423506">
                          <w:rPr>
                            <w:rFonts w:ascii="Times New Roman" w:eastAsia="Times New Roman" w:hAnsi="Times New Roman" w:cs="Arial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0</w:t>
                        </w:r>
                      </w:p>
                    </w:tc>
                  </w:tr>
                </w:tbl>
                <w:p w:rsidR="00423506" w:rsidRPr="00423506" w:rsidRDefault="00423506" w:rsidP="00423506">
                  <w:pPr>
                    <w:suppressAutoHyphens/>
                    <w:spacing w:after="0" w:line="240" w:lineRule="auto"/>
                    <w:ind w:left="3297"/>
                    <w:rPr>
                      <w:rFonts w:ascii="Times New Roman" w:eastAsia="Times New Roman" w:hAnsi="Times New Roman"/>
                      <w:sz w:val="24"/>
                      <w:szCs w:val="20"/>
                      <w:lang w:eastAsia="ar-SA"/>
                    </w:rPr>
                  </w:pPr>
                </w:p>
                <w:p w:rsidR="00423506" w:rsidRPr="00423506" w:rsidRDefault="00423506" w:rsidP="004235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dxa"/>
                  <w:noWrap/>
                  <w:vAlign w:val="bottom"/>
                </w:tcPr>
                <w:p w:rsidR="00423506" w:rsidRPr="00423506" w:rsidRDefault="00423506" w:rsidP="004235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7" w:type="dxa"/>
                  <w:noWrap/>
                  <w:vAlign w:val="bottom"/>
                </w:tcPr>
                <w:p w:rsidR="00423506" w:rsidRPr="00423506" w:rsidRDefault="00423506" w:rsidP="004235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23506" w:rsidRPr="00423506" w:rsidRDefault="00423506" w:rsidP="00423506">
            <w:pPr>
              <w:suppressAutoHyphens/>
              <w:spacing w:after="0"/>
              <w:rPr>
                <w:rFonts w:ascii="Times New Roman" w:eastAsia="Times New Roman" w:hAnsi="Times New Roman" w:cs="Arial"/>
                <w:color w:val="000000"/>
                <w:lang w:val="ru-RU" w:eastAsia="ru-RU"/>
              </w:rPr>
            </w:pPr>
          </w:p>
        </w:tc>
        <w:tc>
          <w:tcPr>
            <w:tcW w:w="737" w:type="dxa"/>
            <w:noWrap/>
            <w:vAlign w:val="bottom"/>
          </w:tcPr>
          <w:p w:rsidR="00423506" w:rsidRPr="00423506" w:rsidRDefault="00423506" w:rsidP="00423506">
            <w:pPr>
              <w:suppressAutoHyphens/>
              <w:spacing w:after="0"/>
              <w:rPr>
                <w:rFonts w:ascii="Times New Roman" w:eastAsia="Times New Roman" w:hAnsi="Times New Roman" w:cs="Arial"/>
                <w:color w:val="000000"/>
                <w:lang w:val="ru-RU" w:eastAsia="ru-RU"/>
              </w:rPr>
            </w:pPr>
          </w:p>
        </w:tc>
        <w:tc>
          <w:tcPr>
            <w:tcW w:w="1101" w:type="dxa"/>
            <w:noWrap/>
            <w:vAlign w:val="bottom"/>
          </w:tcPr>
          <w:p w:rsidR="00423506" w:rsidRPr="00423506" w:rsidRDefault="00423506" w:rsidP="00423506">
            <w:pPr>
              <w:suppressAutoHyphens/>
              <w:spacing w:after="0"/>
              <w:rPr>
                <w:rFonts w:ascii="Times New Roman" w:eastAsia="Times New Roman" w:hAnsi="Times New Roman" w:cs="Arial"/>
                <w:color w:val="000000"/>
                <w:lang w:val="ru-RU" w:eastAsia="ru-RU"/>
              </w:rPr>
            </w:pPr>
          </w:p>
        </w:tc>
      </w:tr>
    </w:tbl>
    <w:p w:rsidR="00423506" w:rsidRPr="00423506" w:rsidRDefault="00423506" w:rsidP="00423506">
      <w:pPr>
        <w:suppressAutoHyphens/>
        <w:spacing w:after="0"/>
        <w:rPr>
          <w:rFonts w:ascii="Times New Roman" w:eastAsia="Times New Roman" w:hAnsi="Times New Roman" w:cs="Arial"/>
          <w:vanish/>
          <w:color w:val="000000"/>
          <w:lang w:eastAsia="ar-SA"/>
        </w:rPr>
      </w:pPr>
    </w:p>
    <w:p w:rsidR="00423506" w:rsidRPr="00423506" w:rsidRDefault="00423506" w:rsidP="00423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3506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Поставка товару проводиться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окремими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партіями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протягом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 3  (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трьох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днів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дати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отримання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письмового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дійсна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електронна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адреса)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чи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усного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(телефоном)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замовлення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. Поставка товару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здійснюється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на склад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згідно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замовлення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яке </w:t>
      </w:r>
      <w:proofErr w:type="spellStart"/>
      <w:proofErr w:type="gram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передається</w:t>
      </w:r>
      <w:proofErr w:type="spellEnd"/>
      <w:proofErr w:type="gram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Постачальнику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42350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23506" w:rsidRPr="00423506" w:rsidRDefault="00423506" w:rsidP="00423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23506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Місцезнаходження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: 13520,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Україна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Житомирська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Попільнянський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Ходорків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. Слобода, 102</w:t>
      </w:r>
    </w:p>
    <w:p w:rsidR="00423506" w:rsidRPr="00423506" w:rsidRDefault="00423506" w:rsidP="00423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23506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Товар,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постачається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не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перебував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експлуатації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термін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умови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зберігання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порушені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23506" w:rsidRPr="00423506" w:rsidRDefault="00423506" w:rsidP="00423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23506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Товар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упакований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таким чином,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пошкодження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транспортуванні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є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неможливим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Маркування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упаковці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відповідає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вимогам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нормативних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документі</w:t>
      </w:r>
      <w:proofErr w:type="gram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у  тому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числі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зазначено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назва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кількість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виробник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. Товар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відповідає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вимогам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діючих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Сертифікатів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ідповідності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(ГОСТ, ДСТУ, ТУ та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інші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підтверджують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z w:val="24"/>
          <w:szCs w:val="24"/>
          <w:lang w:val="ru-RU"/>
        </w:rPr>
        <w:t>якість</w:t>
      </w:r>
      <w:proofErr w:type="spellEnd"/>
      <w:r w:rsidRPr="00423506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товару.</w:t>
      </w:r>
    </w:p>
    <w:p w:rsidR="00423506" w:rsidRPr="00515FC3" w:rsidRDefault="00423506" w:rsidP="00423506">
      <w:pPr>
        <w:spacing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</w:pPr>
      <w:r w:rsidRPr="00423506">
        <w:rPr>
          <w:rFonts w:ascii="Times New Roman" w:eastAsia="SimSun" w:hAnsi="Times New Roman"/>
          <w:snapToGrid w:val="0"/>
          <w:sz w:val="24"/>
          <w:szCs w:val="24"/>
          <w:lang w:eastAsia="uk-UA"/>
        </w:rPr>
        <w:t>5.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Термін постачання:  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 дати підписання по 31.12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.2024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р.</w:t>
      </w:r>
    </w:p>
    <w:p w:rsidR="00423506" w:rsidRPr="00423506" w:rsidRDefault="00423506" w:rsidP="0042350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eastAsia="ar-SA"/>
        </w:rPr>
      </w:pPr>
    </w:p>
    <w:p w:rsidR="00423506" w:rsidRPr="00423506" w:rsidRDefault="00423506" w:rsidP="0042350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</w:pP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Примітка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: У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випадку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якщо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«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найменування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товару» </w:t>
      </w:r>
      <w:proofErr w:type="spellStart"/>
      <w:proofErr w:type="gram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містить</w:t>
      </w:r>
      <w:proofErr w:type="spellEnd"/>
      <w:proofErr w:type="gram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позначку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«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еквівалент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»,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варто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врахувати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що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пропонований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товар повинен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відповідати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всім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іншим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розмірам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та характеристикам,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встановленим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Замовником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.</w:t>
      </w:r>
    </w:p>
    <w:p w:rsidR="00423506" w:rsidRPr="00423506" w:rsidRDefault="00423506" w:rsidP="0042350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</w:pPr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*У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разі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використання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в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тендерній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документації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посилання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на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конкретні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марку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чи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виробника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або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на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конкретний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процес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що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характеризує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 продукт 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чи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послугу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певного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суб’єкта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господарювання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чи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на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торгові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марки,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патенти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типи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або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конкретне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місце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походження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чи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спосіб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виробництва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</w:t>
      </w:r>
      <w:proofErr w:type="gram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ісля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такого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посилання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слід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читати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вираз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u w:val="single"/>
          <w:lang w:val="ru-RU" w:eastAsia="ar-SA"/>
        </w:rPr>
        <w:t>"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u w:val="single"/>
          <w:lang w:val="ru-RU" w:eastAsia="ar-SA"/>
        </w:rPr>
        <w:t>або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u w:val="single"/>
          <w:lang w:val="ru-RU" w:eastAsia="ar-SA"/>
        </w:rPr>
        <w:t>еквівалент</w:t>
      </w:r>
      <w:proofErr w:type="spellEnd"/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u w:val="single"/>
          <w:lang w:val="ru-RU" w:eastAsia="ar-SA"/>
        </w:rPr>
        <w:t>"</w:t>
      </w:r>
      <w:r w:rsidRPr="00423506"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  <w:t>.</w:t>
      </w:r>
    </w:p>
    <w:p w:rsidR="00423506" w:rsidRPr="00423506" w:rsidRDefault="00423506" w:rsidP="0042350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iCs/>
          <w:color w:val="000000"/>
          <w:spacing w:val="-4"/>
          <w:sz w:val="24"/>
          <w:szCs w:val="24"/>
          <w:lang w:val="ru-RU" w:eastAsia="ar-SA"/>
        </w:rPr>
      </w:pPr>
    </w:p>
    <w:p w:rsidR="00423506" w:rsidRPr="00423506" w:rsidRDefault="00423506" w:rsidP="0042350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</w:pPr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При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наданні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Учасником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аналог</w:t>
      </w:r>
      <w:proofErr w:type="gram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у(</w:t>
      </w:r>
      <w:proofErr w:type="spellStart"/>
      <w:proofErr w:type="gram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ів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) предмета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закупівлі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який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(і)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вимагається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(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ються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)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Замовником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Учасник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процедури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закупівлі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у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складі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тендерної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пропозиції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повинен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надати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на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своєму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фірмовому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бланку, з № та датою,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порівняльну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таблицю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із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зазначенням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технічних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характеристик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запропонованого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(их) товару(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ів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),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вказаних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у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відповідних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технічних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 паспортах, та предмета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закупівлі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який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 xml:space="preserve">(і) 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вимагається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(</w:t>
      </w:r>
      <w:proofErr w:type="spellStart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ються</w:t>
      </w:r>
      <w:proofErr w:type="spellEnd"/>
      <w:r w:rsidRPr="00423506">
        <w:rPr>
          <w:rFonts w:ascii="Times New Roman" w:eastAsia="Times New Roman" w:hAnsi="Times New Roman" w:cs="Arial"/>
          <w:b/>
          <w:bCs/>
          <w:i/>
          <w:iCs/>
          <w:color w:val="000000"/>
          <w:spacing w:val="-4"/>
          <w:sz w:val="24"/>
          <w:szCs w:val="24"/>
          <w:lang w:val="ru-RU" w:eastAsia="ar-SA"/>
        </w:rPr>
        <w:t>).</w:t>
      </w:r>
    </w:p>
    <w:p w:rsidR="00423506" w:rsidRPr="00423506" w:rsidRDefault="00423506" w:rsidP="0042350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/>
        </w:rPr>
      </w:pPr>
      <w:proofErr w:type="spellStart"/>
      <w:r w:rsidRPr="00423506">
        <w:rPr>
          <w:rFonts w:ascii="Times New Roman" w:eastAsia="Times New Roman" w:hAnsi="Times New Roman"/>
          <w:b/>
          <w:spacing w:val="-4"/>
          <w:sz w:val="28"/>
          <w:szCs w:val="28"/>
          <w:lang w:val="en-US"/>
        </w:rPr>
        <w:t>Інші</w:t>
      </w:r>
      <w:proofErr w:type="spellEnd"/>
      <w:r w:rsidRPr="00423506">
        <w:rPr>
          <w:rFonts w:ascii="Times New Roman" w:eastAsia="Times New Roman" w:hAnsi="Times New Roman"/>
          <w:b/>
          <w:spacing w:val="-4"/>
          <w:sz w:val="28"/>
          <w:szCs w:val="28"/>
          <w:lang w:val="en-US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b/>
          <w:spacing w:val="-4"/>
          <w:sz w:val="28"/>
          <w:szCs w:val="28"/>
          <w:lang w:val="en-US"/>
        </w:rPr>
        <w:t>вимоги</w:t>
      </w:r>
      <w:proofErr w:type="spellEnd"/>
    </w:p>
    <w:p w:rsidR="00423506" w:rsidRPr="00423506" w:rsidRDefault="00423506" w:rsidP="00423506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val="en-US"/>
        </w:rPr>
      </w:pPr>
      <w:proofErr w:type="spellStart"/>
      <w:r w:rsidRPr="0042350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Умови</w:t>
      </w:r>
      <w:proofErr w:type="spellEnd"/>
      <w:r w:rsidRPr="0042350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поставки</w:t>
      </w:r>
      <w:proofErr w:type="spellEnd"/>
      <w:r w:rsidRPr="0042350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42350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товару</w:t>
      </w:r>
      <w:proofErr w:type="spellEnd"/>
      <w:r w:rsidRPr="0042350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:</w:t>
      </w:r>
    </w:p>
    <w:p w:rsidR="00423506" w:rsidRPr="00423506" w:rsidRDefault="00423506" w:rsidP="00423506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</w:pPr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за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рахунок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постачальника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включаючи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завантаження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та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розвантаження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товару;</w:t>
      </w:r>
    </w:p>
    <w:p w:rsidR="00423506" w:rsidRPr="00423506" w:rsidRDefault="00423506" w:rsidP="00423506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</w:pPr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транспортом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постачальника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 xml:space="preserve">з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>дотриманням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>чинних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 xml:space="preserve"> норм та правил,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>які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>забезпечують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>збереження</w:t>
      </w:r>
      <w:proofErr w:type="spellEnd"/>
      <w:r w:rsidRPr="00423506"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  <w:t xml:space="preserve"> </w:t>
      </w:r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та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перевезення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товару;</w:t>
      </w:r>
    </w:p>
    <w:p w:rsidR="00423506" w:rsidRPr="00423506" w:rsidRDefault="00423506" w:rsidP="00423506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pacing w:val="-4"/>
          <w:sz w:val="24"/>
          <w:szCs w:val="24"/>
          <w:lang w:val="ru-RU" w:eastAsia="ar-SA"/>
        </w:rPr>
      </w:pPr>
      <w:proofErr w:type="spellStart"/>
      <w:proofErr w:type="gram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Ц</w:t>
      </w:r>
      <w:proofErr w:type="gram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іна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товару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включає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вартість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його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доставки на адресу складу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замовника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всі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витрати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пов’язані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з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виконанням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предмету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укладеного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договору про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закупівлю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податки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збори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та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необхідні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платежі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,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що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сплачуються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або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мають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бути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сплачені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 xml:space="preserve"> </w:t>
      </w:r>
      <w:proofErr w:type="spellStart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ar-SA"/>
        </w:rPr>
        <w:t>постачальником</w:t>
      </w:r>
      <w:proofErr w:type="spellEnd"/>
      <w:r w:rsidRPr="00423506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val="ru-RU" w:eastAsia="ru-RU"/>
        </w:rPr>
        <w:t>.</w:t>
      </w:r>
    </w:p>
    <w:p w:rsidR="00423506" w:rsidRPr="00423506" w:rsidRDefault="00423506" w:rsidP="00423506">
      <w:pPr>
        <w:suppressAutoHyphens/>
        <w:spacing w:after="0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</w:p>
    <w:p w:rsidR="00CB3F18" w:rsidRPr="00CF599F" w:rsidRDefault="00CB3F18" w:rsidP="00CB3F18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599F">
        <w:rPr>
          <w:rFonts w:ascii="Times New Roman" w:hAnsi="Times New Roman"/>
          <w:b/>
          <w:sz w:val="24"/>
          <w:szCs w:val="24"/>
        </w:rPr>
        <w:t>Посада, прізвище, ініціали     ________________________</w:t>
      </w:r>
    </w:p>
    <w:p w:rsidR="00CB3F18" w:rsidRPr="00B6066F" w:rsidRDefault="00CB3F18" w:rsidP="00CB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599F">
        <w:rPr>
          <w:rFonts w:ascii="Times New Roman" w:hAnsi="Times New Roman"/>
          <w:b/>
          <w:caps/>
          <w:sz w:val="24"/>
          <w:szCs w:val="24"/>
        </w:rPr>
        <w:t>м.п.</w:t>
      </w:r>
      <w:r w:rsidRPr="00CF599F">
        <w:rPr>
          <w:rFonts w:ascii="Times New Roman" w:hAnsi="Times New Roman"/>
          <w:b/>
          <w:sz w:val="24"/>
          <w:szCs w:val="24"/>
        </w:rPr>
        <w:t xml:space="preserve"> (за наявності)</w:t>
      </w:r>
    </w:p>
    <w:p w:rsidR="00AC54C1" w:rsidRPr="00CB3F18" w:rsidRDefault="00AC54C1" w:rsidP="00CB3F18">
      <w:pPr>
        <w:rPr>
          <w:szCs w:val="24"/>
        </w:rPr>
      </w:pPr>
    </w:p>
    <w:sectPr w:rsidR="00AC54C1" w:rsidRPr="00CB3F18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29D"/>
    <w:multiLevelType w:val="hybridMultilevel"/>
    <w:tmpl w:val="8A5E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722EA8"/>
    <w:multiLevelType w:val="multilevel"/>
    <w:tmpl w:val="6172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E89"/>
    <w:multiLevelType w:val="hybridMultilevel"/>
    <w:tmpl w:val="E1506FDC"/>
    <w:lvl w:ilvl="0" w:tplc="66B6D9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03F72"/>
    <w:multiLevelType w:val="multilevel"/>
    <w:tmpl w:val="7F203F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9EA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5A27"/>
    <w:rsid w:val="000C657B"/>
    <w:rsid w:val="000D0016"/>
    <w:rsid w:val="000D7A0E"/>
    <w:rsid w:val="000E0DEA"/>
    <w:rsid w:val="000F0E69"/>
    <w:rsid w:val="000F21C0"/>
    <w:rsid w:val="000F38D6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455E6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23506"/>
    <w:rsid w:val="004323A6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63344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A34A9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1954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B7838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61F7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249CC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28E2"/>
    <w:rsid w:val="00AA3FF9"/>
    <w:rsid w:val="00AA67D0"/>
    <w:rsid w:val="00AB07FE"/>
    <w:rsid w:val="00AB4131"/>
    <w:rsid w:val="00AC2F4B"/>
    <w:rsid w:val="00AC3038"/>
    <w:rsid w:val="00AC54C1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36C6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3F1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07E0"/>
    <w:rsid w:val="00D32463"/>
    <w:rsid w:val="00D338FD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502C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D71DF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3</cp:revision>
  <dcterms:created xsi:type="dcterms:W3CDTF">2024-01-29T11:42:00Z</dcterms:created>
  <dcterms:modified xsi:type="dcterms:W3CDTF">2024-01-31T11:59:00Z</dcterms:modified>
</cp:coreProperties>
</file>