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22B12791"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A710ED" w:rsidRPr="00A710ED">
        <w:rPr>
          <w:rFonts w:ascii="Times New Roman" w:hAnsi="Times New Roman" w:cs="Times New Roman"/>
          <w:b/>
          <w:bCs/>
        </w:rPr>
        <w:t>UA-2023-11-23-018750-a</w:t>
      </w:r>
    </w:p>
    <w:p w14:paraId="5DA12733" w14:textId="665F737B" w:rsidR="0039597C" w:rsidRPr="00554E35" w:rsidRDefault="00A63F31" w:rsidP="00502B5C">
      <w:pPr>
        <w:jc w:val="center"/>
        <w:rPr>
          <w:rFonts w:ascii="Times New Roman" w:hAnsi="Times New Roman" w:cs="Times New Roman"/>
          <w:b/>
          <w:bCs/>
          <w:lang w:val="uk-UA"/>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8055E1">
        <w:rPr>
          <w:rFonts w:ascii="Times New Roman" w:hAnsi="Times New Roman" w:cs="Times New Roman"/>
          <w:b/>
          <w:bCs/>
          <w:lang w:val="uk-UA"/>
        </w:rPr>
        <w:t xml:space="preserve">№ </w:t>
      </w:r>
      <w:r w:rsidR="008055E1" w:rsidRPr="008055E1">
        <w:rPr>
          <w:rFonts w:ascii="Times New Roman" w:hAnsi="Times New Roman" w:cs="Times New Roman"/>
          <w:b/>
          <w:bCs/>
          <w:lang w:val="uk-UA"/>
        </w:rPr>
        <w:t>5-01/4411</w:t>
      </w:r>
      <w:r w:rsidR="00D72BAB" w:rsidRPr="00554E35">
        <w:rPr>
          <w:rFonts w:ascii="Times New Roman" w:hAnsi="Times New Roman" w:cs="Times New Roman"/>
          <w:b/>
          <w:bCs/>
          <w:lang w:val="uk-UA"/>
        </w:rPr>
        <w:t xml:space="preserve">від </w:t>
      </w:r>
      <w:r w:rsidR="007A166C" w:rsidRPr="00554E35">
        <w:rPr>
          <w:rFonts w:ascii="Times New Roman" w:hAnsi="Times New Roman" w:cs="Times New Roman"/>
          <w:b/>
          <w:bCs/>
          <w:lang w:val="uk-UA"/>
        </w:rPr>
        <w:t>2</w:t>
      </w:r>
      <w:r w:rsidR="009752D8" w:rsidRPr="00554E35">
        <w:rPr>
          <w:rFonts w:ascii="Times New Roman" w:hAnsi="Times New Roman" w:cs="Times New Roman"/>
          <w:b/>
          <w:bCs/>
          <w:lang w:val="uk-UA"/>
        </w:rPr>
        <w:t>7</w:t>
      </w:r>
      <w:r w:rsidR="00A92529" w:rsidRPr="00554E35">
        <w:rPr>
          <w:rFonts w:ascii="Times New Roman" w:hAnsi="Times New Roman" w:cs="Times New Roman"/>
          <w:b/>
          <w:bCs/>
          <w:lang w:val="uk-UA"/>
        </w:rPr>
        <w:t>.1</w:t>
      </w:r>
      <w:r w:rsidR="007A166C" w:rsidRPr="00554E35">
        <w:rPr>
          <w:rFonts w:ascii="Times New Roman" w:hAnsi="Times New Roman" w:cs="Times New Roman"/>
          <w:b/>
          <w:bCs/>
          <w:lang w:val="uk-UA"/>
        </w:rPr>
        <w:t>1</w:t>
      </w:r>
      <w:r w:rsidR="008F0E6E" w:rsidRPr="00554E35">
        <w:rPr>
          <w:rFonts w:ascii="Times New Roman" w:hAnsi="Times New Roman" w:cs="Times New Roman"/>
          <w:b/>
          <w:bCs/>
          <w:lang w:val="uk-UA"/>
        </w:rPr>
        <w:t xml:space="preserve">.2023 </w:t>
      </w:r>
    </w:p>
    <w:tbl>
      <w:tblPr>
        <w:tblStyle w:val="a3"/>
        <w:tblW w:w="10632" w:type="dxa"/>
        <w:tblInd w:w="-572" w:type="dxa"/>
        <w:tblLook w:val="04A0" w:firstRow="1" w:lastRow="0" w:firstColumn="1" w:lastColumn="0" w:noHBand="0" w:noVBand="1"/>
      </w:tblPr>
      <w:tblGrid>
        <w:gridCol w:w="1614"/>
        <w:gridCol w:w="4482"/>
        <w:gridCol w:w="4536"/>
      </w:tblGrid>
      <w:tr w:rsidR="0039597C" w:rsidRPr="00554E35" w14:paraId="312B6331" w14:textId="77777777" w:rsidTr="009752D8">
        <w:tc>
          <w:tcPr>
            <w:tcW w:w="1614"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r w:rsidR="00B67377" w:rsidRPr="00554E35">
              <w:rPr>
                <w:rFonts w:ascii="Times New Roman" w:hAnsi="Times New Roman" w:cs="Times New Roman"/>
                <w:b/>
                <w:sz w:val="20"/>
                <w:szCs w:val="20"/>
                <w:lang w:val="uk-UA"/>
              </w:rPr>
              <w:t>пп/п/розділу/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4482"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4536"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7B4300" w:rsidRPr="00554E35" w14:paraId="69F1EDE7" w14:textId="77777777" w:rsidTr="009752D8">
        <w:tc>
          <w:tcPr>
            <w:tcW w:w="1614" w:type="dxa"/>
          </w:tcPr>
          <w:p w14:paraId="6B1D7E7D" w14:textId="63121D95" w:rsidR="007B4300" w:rsidRPr="00554E35" w:rsidRDefault="007B430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ч. 2 </w:t>
            </w:r>
            <w:r w:rsidR="009752D8" w:rsidRPr="00554E35">
              <w:rPr>
                <w:rFonts w:ascii="Times New Roman" w:hAnsi="Times New Roman" w:cs="Times New Roman"/>
                <w:b/>
                <w:sz w:val="20"/>
                <w:szCs w:val="20"/>
                <w:lang w:val="uk-UA"/>
              </w:rPr>
              <w:t xml:space="preserve">Кінцевий строк подання тендерної пропозиції Розділ 4. Подання та розкриття тендерної пропозиції  </w:t>
            </w:r>
            <w:r w:rsidRPr="00554E35">
              <w:rPr>
                <w:rFonts w:ascii="Times New Roman" w:hAnsi="Times New Roman" w:cs="Times New Roman"/>
                <w:b/>
                <w:sz w:val="20"/>
                <w:szCs w:val="20"/>
                <w:lang w:val="uk-UA"/>
              </w:rPr>
              <w:t xml:space="preserve">Тендерної документації </w:t>
            </w:r>
          </w:p>
        </w:tc>
        <w:tc>
          <w:tcPr>
            <w:tcW w:w="4482" w:type="dxa"/>
          </w:tcPr>
          <w:p w14:paraId="7F4C8E9C" w14:textId="77777777" w:rsidR="0052179B" w:rsidRPr="00554E35" w:rsidRDefault="0052179B" w:rsidP="0052179B">
            <w:pPr>
              <w:widowControl w:val="0"/>
              <w:ind w:right="120"/>
              <w:jc w:val="both"/>
              <w:rPr>
                <w:rFonts w:ascii="Times New Roman" w:eastAsia="Times New Roman" w:hAnsi="Times New Roman" w:cs="Times New Roman"/>
                <w:lang w:val="uk-UA"/>
              </w:rPr>
            </w:pPr>
            <w:r w:rsidRPr="00554E35">
              <w:rPr>
                <w:rFonts w:ascii="Times New Roman" w:eastAsia="Times New Roman" w:hAnsi="Times New Roman" w:cs="Times New Roman"/>
                <w:color w:val="000000"/>
                <w:lang w:val="uk-UA"/>
              </w:rPr>
              <w:t xml:space="preserve">Кінцевий строк подання </w:t>
            </w:r>
            <w:r w:rsidRPr="00554E35">
              <w:rPr>
                <w:rFonts w:ascii="Times New Roman" w:eastAsia="Times New Roman" w:hAnsi="Times New Roman" w:cs="Times New Roman"/>
                <w:lang w:val="uk-UA"/>
              </w:rPr>
              <w:t xml:space="preserve">тендерних пропозицій – до 00:00 год. «01» грудня 2023 року. </w:t>
            </w:r>
            <w:r w:rsidRPr="00554E35">
              <w:rPr>
                <w:rFonts w:ascii="Times New Roman" w:eastAsia="Times New Roman" w:hAnsi="Times New Roman" w:cs="Times New Roman"/>
                <w:i/>
                <w:strike/>
                <w:color w:val="4A86E8"/>
                <w:lang w:val="uk-UA"/>
              </w:rPr>
              <w:t xml:space="preserve"> </w:t>
            </w:r>
          </w:p>
          <w:p w14:paraId="3707FB4C" w14:textId="77777777" w:rsidR="0052179B" w:rsidRPr="00554E35" w:rsidRDefault="0052179B" w:rsidP="0052179B">
            <w:pPr>
              <w:widowControl w:val="0"/>
              <w:jc w:val="both"/>
              <w:rPr>
                <w:rFonts w:ascii="Times New Roman" w:eastAsia="Times New Roman" w:hAnsi="Times New Roman" w:cs="Times New Roman"/>
                <w:lang w:val="uk-UA"/>
              </w:rPr>
            </w:pPr>
            <w:r w:rsidRPr="00554E35">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14:paraId="48405991" w14:textId="77777777" w:rsidR="0052179B" w:rsidRPr="00554E35" w:rsidRDefault="0052179B" w:rsidP="0052179B">
            <w:pPr>
              <w:widowControl w:val="0"/>
              <w:jc w:val="both"/>
              <w:rPr>
                <w:rFonts w:ascii="Times New Roman" w:eastAsia="Times New Roman" w:hAnsi="Times New Roman" w:cs="Times New Roman"/>
                <w:lang w:val="uk-UA"/>
              </w:rPr>
            </w:pPr>
            <w:r w:rsidRPr="00554E35">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8A60CB" w14:textId="67B8EA0A" w:rsidR="007B4300" w:rsidRPr="00554E35" w:rsidRDefault="0052179B" w:rsidP="0052179B">
            <w:pPr>
              <w:rPr>
                <w:rFonts w:ascii="Times New Roman" w:hAnsi="Times New Roman" w:cs="Times New Roman"/>
                <w:sz w:val="20"/>
                <w:szCs w:val="20"/>
                <w:lang w:val="uk-UA"/>
              </w:rPr>
            </w:pPr>
            <w:r w:rsidRPr="00554E35">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c>
          <w:tcPr>
            <w:tcW w:w="4536" w:type="dxa"/>
          </w:tcPr>
          <w:p w14:paraId="1BD33EC0" w14:textId="5F98CBB2" w:rsidR="0052179B" w:rsidRPr="00554E35" w:rsidRDefault="0052179B" w:rsidP="0052179B">
            <w:pPr>
              <w:widowControl w:val="0"/>
              <w:ind w:right="120"/>
              <w:jc w:val="both"/>
              <w:rPr>
                <w:rFonts w:ascii="Times New Roman" w:eastAsia="Times New Roman" w:hAnsi="Times New Roman" w:cs="Times New Roman"/>
                <w:lang w:val="uk-UA"/>
              </w:rPr>
            </w:pPr>
            <w:r w:rsidRPr="00554E35">
              <w:rPr>
                <w:rFonts w:ascii="Times New Roman" w:eastAsia="Times New Roman" w:hAnsi="Times New Roman" w:cs="Times New Roman"/>
                <w:color w:val="000000"/>
                <w:highlight w:val="yellow"/>
                <w:lang w:val="uk-UA"/>
              </w:rPr>
              <w:t xml:space="preserve">Кінцевий строк подання </w:t>
            </w:r>
            <w:r w:rsidRPr="00554E35">
              <w:rPr>
                <w:rFonts w:ascii="Times New Roman" w:eastAsia="Times New Roman" w:hAnsi="Times New Roman" w:cs="Times New Roman"/>
                <w:highlight w:val="yellow"/>
                <w:lang w:val="uk-UA"/>
              </w:rPr>
              <w:t>тендерних пропозицій – до 00:00 год. «02» грудня 2023 року.</w:t>
            </w:r>
            <w:r w:rsidRPr="00554E35">
              <w:rPr>
                <w:rFonts w:ascii="Times New Roman" w:eastAsia="Times New Roman" w:hAnsi="Times New Roman" w:cs="Times New Roman"/>
                <w:lang w:val="uk-UA"/>
              </w:rPr>
              <w:t xml:space="preserve"> </w:t>
            </w:r>
            <w:r w:rsidRPr="00554E35">
              <w:rPr>
                <w:rFonts w:ascii="Times New Roman" w:eastAsia="Times New Roman" w:hAnsi="Times New Roman" w:cs="Times New Roman"/>
                <w:i/>
                <w:strike/>
                <w:color w:val="4A86E8"/>
                <w:lang w:val="uk-UA"/>
              </w:rPr>
              <w:t xml:space="preserve"> </w:t>
            </w:r>
          </w:p>
          <w:p w14:paraId="121B1C9A" w14:textId="77777777" w:rsidR="0052179B" w:rsidRPr="00554E35" w:rsidRDefault="0052179B" w:rsidP="0052179B">
            <w:pPr>
              <w:widowControl w:val="0"/>
              <w:jc w:val="both"/>
              <w:rPr>
                <w:rFonts w:ascii="Times New Roman" w:eastAsia="Times New Roman" w:hAnsi="Times New Roman" w:cs="Times New Roman"/>
                <w:lang w:val="uk-UA"/>
              </w:rPr>
            </w:pPr>
            <w:r w:rsidRPr="00554E35">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14:paraId="3524F30C" w14:textId="77777777" w:rsidR="0052179B" w:rsidRPr="00554E35" w:rsidRDefault="0052179B" w:rsidP="0052179B">
            <w:pPr>
              <w:widowControl w:val="0"/>
              <w:jc w:val="both"/>
              <w:rPr>
                <w:rFonts w:ascii="Times New Roman" w:eastAsia="Times New Roman" w:hAnsi="Times New Roman" w:cs="Times New Roman"/>
                <w:lang w:val="uk-UA"/>
              </w:rPr>
            </w:pPr>
            <w:r w:rsidRPr="00554E35">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B02E6E" w14:textId="658CE88D" w:rsidR="007B4300" w:rsidRPr="00554E35" w:rsidRDefault="0052179B" w:rsidP="0052179B">
            <w:pPr>
              <w:jc w:val="both"/>
              <w:rPr>
                <w:rFonts w:ascii="Times New Roman" w:hAnsi="Times New Roman" w:cs="Times New Roman"/>
                <w:b/>
                <w:sz w:val="20"/>
                <w:szCs w:val="20"/>
                <w:lang w:val="uk-UA"/>
              </w:rPr>
            </w:pPr>
            <w:r w:rsidRPr="00554E35">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A92529" w:rsidRPr="008055E1" w14:paraId="25B61ADA" w14:textId="77777777" w:rsidTr="009752D8">
        <w:tc>
          <w:tcPr>
            <w:tcW w:w="1614" w:type="dxa"/>
          </w:tcPr>
          <w:p w14:paraId="14FF4B7C" w14:textId="2AC72B07" w:rsidR="00A92529" w:rsidRPr="00554E35" w:rsidRDefault="00A92529" w:rsidP="00A92529">
            <w:pPr>
              <w:jc w:val="center"/>
              <w:rPr>
                <w:rFonts w:ascii="Times New Roman" w:hAnsi="Times New Roman" w:cs="Times New Roman"/>
                <w:b/>
                <w:sz w:val="20"/>
                <w:szCs w:val="20"/>
                <w:lang w:val="uk-UA"/>
              </w:rPr>
            </w:pPr>
            <w:r w:rsidRPr="00554E35">
              <w:rPr>
                <w:rFonts w:ascii="Times New Roman" w:hAnsi="Times New Roman" w:cs="Times New Roman"/>
                <w:b/>
                <w:sz w:val="18"/>
                <w:szCs w:val="20"/>
                <w:lang w:val="uk-UA"/>
              </w:rPr>
              <w:t xml:space="preserve">№ з/п. </w:t>
            </w:r>
            <w:r w:rsidR="00405AE2" w:rsidRPr="00554E35">
              <w:rPr>
                <w:rFonts w:ascii="Times New Roman" w:hAnsi="Times New Roman" w:cs="Times New Roman"/>
                <w:b/>
                <w:sz w:val="18"/>
                <w:szCs w:val="20"/>
                <w:lang w:val="uk-UA"/>
              </w:rPr>
              <w:t xml:space="preserve">1 </w:t>
            </w:r>
            <w:r w:rsidR="00405AE2" w:rsidRPr="00554E35">
              <w:rPr>
                <w:rFonts w:ascii="Times New Roman" w:hAnsi="Times New Roman" w:cs="Times New Roman"/>
                <w:b/>
                <w:iCs/>
                <w:sz w:val="18"/>
                <w:szCs w:val="20"/>
                <w:lang w:val="uk-UA"/>
              </w:rPr>
              <w:t>Наявність в учасника процедури закупівлі обладнання, матеріально-технічної бази та технологій</w:t>
            </w:r>
            <w:r w:rsidRPr="00554E35">
              <w:rPr>
                <w:rFonts w:ascii="Times New Roman" w:hAnsi="Times New Roman" w:cs="Times New Roman"/>
                <w:b/>
                <w:sz w:val="18"/>
                <w:szCs w:val="20"/>
                <w:lang w:val="uk-UA"/>
              </w:rPr>
              <w:t xml:space="preserve"> п.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Додатку 1 Тендерної документації</w:t>
            </w:r>
          </w:p>
        </w:tc>
        <w:tc>
          <w:tcPr>
            <w:tcW w:w="4482" w:type="dxa"/>
          </w:tcPr>
          <w:p w14:paraId="654EE21D" w14:textId="77777777" w:rsidR="00405AE2" w:rsidRPr="00554E35" w:rsidRDefault="00405AE2" w:rsidP="00405AE2">
            <w:pPr>
              <w:jc w:val="both"/>
              <w:rPr>
                <w:rFonts w:ascii="Times New Roman" w:hAnsi="Times New Roman" w:cs="Times New Roman"/>
                <w:lang w:val="uk-UA"/>
              </w:rPr>
            </w:pPr>
            <w:r w:rsidRPr="00554E35">
              <w:rPr>
                <w:rFonts w:ascii="Times New Roman" w:hAnsi="Times New Roman" w:cs="Times New Roman"/>
                <w:szCs w:val="20"/>
                <w:lang w:val="uk-UA"/>
              </w:rPr>
              <w:t xml:space="preserve">1.1. Наявність </w:t>
            </w:r>
            <w:r w:rsidRPr="00554E35">
              <w:rPr>
                <w:rFonts w:ascii="Times New Roman" w:hAnsi="Times New Roman" w:cs="Times New Roman"/>
                <w:szCs w:val="20"/>
                <w:shd w:val="clear" w:color="auto" w:fill="FFFFFF"/>
                <w:lang w:val="uk-UA"/>
              </w:rPr>
              <w:t>обладнання, матеріально-технічної бази та технологій</w:t>
            </w:r>
            <w:r w:rsidRPr="00554E35">
              <w:rPr>
                <w:rFonts w:ascii="Times New Roman" w:hAnsi="Times New Roman" w:cs="Times New Roman"/>
                <w:szCs w:val="20"/>
                <w:lang w:val="uk-UA"/>
              </w:rPr>
              <w:t>:</w:t>
            </w:r>
          </w:p>
          <w:p w14:paraId="7A349042" w14:textId="77777777" w:rsidR="00405AE2" w:rsidRPr="00554E35" w:rsidRDefault="00405AE2" w:rsidP="00405AE2">
            <w:pPr>
              <w:jc w:val="both"/>
              <w:rPr>
                <w:rFonts w:ascii="Times New Roman" w:hAnsi="Times New Roman" w:cs="Times New Roman"/>
                <w:szCs w:val="20"/>
                <w:lang w:val="uk-UA"/>
              </w:rPr>
            </w:pPr>
            <w:r w:rsidRPr="00554E35">
              <w:rPr>
                <w:rFonts w:ascii="Times New Roman" w:hAnsi="Times New Roman" w:cs="Times New Roman"/>
                <w:szCs w:val="20"/>
                <w:lang w:val="uk-UA"/>
              </w:rPr>
              <w:t xml:space="preserve">1.1.1 </w:t>
            </w:r>
            <w:r w:rsidRPr="00554E35">
              <w:rPr>
                <w:rFonts w:ascii="Times New Roman" w:eastAsia="Courier New" w:hAnsi="Times New Roman" w:cs="Times New Roman"/>
                <w:szCs w:val="20"/>
                <w:lang w:val="uk-UA"/>
              </w:rPr>
              <w:t xml:space="preserve">Довідка в довільній формі, що містить </w:t>
            </w:r>
            <w:r w:rsidRPr="00554E35">
              <w:rPr>
                <w:rFonts w:ascii="Times New Roman" w:hAnsi="Times New Roman" w:cs="Times New Roman"/>
                <w:szCs w:val="20"/>
                <w:lang w:val="uk-UA"/>
              </w:rPr>
              <w:t xml:space="preserve">відомості про наявність у учасника складських приміщень (далі за текстом – Складське приміщення), що знаходяться в радіусі 15 км. (по прямій лінії) від </w:t>
            </w:r>
            <w:r w:rsidRPr="00554E35">
              <w:rPr>
                <w:rFonts w:ascii="Times New Roman" w:eastAsia="Times New Roman" w:hAnsi="Times New Roman" w:cs="Times New Roman"/>
                <w:bCs/>
                <w:lang w:val="uk-UA"/>
              </w:rPr>
              <w:t>місцезнаходження Замовника (Україна, 65044, Одеська область, місто Одеса, Французький бульвар, будинок 12, корпус А).</w:t>
            </w:r>
            <w:r w:rsidRPr="00554E35">
              <w:rPr>
                <w:rFonts w:ascii="Times New Roman" w:hAnsi="Times New Roman" w:cs="Times New Roman"/>
                <w:szCs w:val="20"/>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 </w:t>
            </w:r>
          </w:p>
          <w:p w14:paraId="67E83E7F" w14:textId="77777777" w:rsidR="00405AE2" w:rsidRPr="00554E35" w:rsidRDefault="00405AE2" w:rsidP="00405AE2">
            <w:pPr>
              <w:jc w:val="both"/>
              <w:rPr>
                <w:rFonts w:ascii="Times New Roman" w:hAnsi="Times New Roman" w:cs="Times New Roman"/>
                <w:szCs w:val="20"/>
                <w:lang w:val="uk-UA"/>
              </w:rPr>
            </w:pPr>
            <w:r w:rsidRPr="00554E35">
              <w:rPr>
                <w:rFonts w:ascii="Times New Roman" w:hAnsi="Times New Roman" w:cs="Times New Roman"/>
                <w:szCs w:val="20"/>
                <w:lang w:val="uk-UA"/>
              </w:rPr>
              <w:t xml:space="preserve">1.1.2. </w:t>
            </w:r>
            <w:r w:rsidRPr="00554E35">
              <w:rPr>
                <w:rFonts w:ascii="Times New Roman" w:eastAsia="Courier New" w:hAnsi="Times New Roman" w:cs="Times New Roman"/>
                <w:szCs w:val="20"/>
                <w:lang w:val="uk-UA"/>
              </w:rPr>
              <w:t>Довідка в довільній формі, що містить</w:t>
            </w:r>
            <w:r w:rsidRPr="00554E35">
              <w:rPr>
                <w:rFonts w:ascii="Times New Roman" w:hAnsi="Times New Roman" w:cs="Times New Roman"/>
                <w:szCs w:val="20"/>
                <w:lang w:val="uk-UA"/>
              </w:rPr>
              <w:t xml:space="preserve"> інформацію про наявність у учасника у Складському приміщенні запасів предмету закупівлі в кількості достатній для поставки товару в повному обсязі згідно умов цієї закупівлі, а також, що містить прізвище, ім’я та по-батькові уповноваженого представника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w:t>
            </w:r>
            <w:r w:rsidRPr="00554E35">
              <w:rPr>
                <w:rFonts w:ascii="Times New Roman" w:hAnsi="Times New Roman" w:cs="Times New Roman"/>
                <w:szCs w:val="20"/>
                <w:lang w:val="uk-UA"/>
              </w:rPr>
              <w:lastRenderedPageBreak/>
              <w:t xml:space="preserve">учаснику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w:t>
            </w:r>
          </w:p>
          <w:p w14:paraId="20FFA319" w14:textId="53B277EF" w:rsidR="00A92529" w:rsidRPr="00554E35" w:rsidRDefault="00405AE2" w:rsidP="00405AE2">
            <w:pPr>
              <w:jc w:val="both"/>
              <w:rPr>
                <w:rFonts w:ascii="Times New Roman" w:hAnsi="Times New Roman" w:cs="Times New Roman"/>
                <w:b/>
                <w:sz w:val="20"/>
                <w:szCs w:val="20"/>
                <w:lang w:val="uk-UA"/>
              </w:rPr>
            </w:pPr>
            <w:r w:rsidRPr="00554E35">
              <w:rPr>
                <w:rFonts w:ascii="Times New Roman" w:hAnsi="Times New Roman" w:cs="Times New Roman"/>
                <w:szCs w:val="20"/>
                <w:lang w:val="uk-UA"/>
              </w:rPr>
              <w:t>1.1.2.1. Замовник має право здійснити виїзд на місце знаходження Складських приміщень, зазначених в тендерній пропозиції учасника та скласти відповідний комісійний акт (про згоду з чим учасник має надати довідку в довільній формі в складі тендерної пропозиції).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тендерної пропозиції такого учасника.</w:t>
            </w:r>
          </w:p>
        </w:tc>
        <w:tc>
          <w:tcPr>
            <w:tcW w:w="4536" w:type="dxa"/>
          </w:tcPr>
          <w:p w14:paraId="0459319A" w14:textId="77777777" w:rsidR="00405AE2" w:rsidRPr="00554E35" w:rsidRDefault="00405AE2" w:rsidP="00405AE2">
            <w:pPr>
              <w:jc w:val="both"/>
              <w:rPr>
                <w:rFonts w:ascii="Times New Roman" w:hAnsi="Times New Roman" w:cs="Times New Roman"/>
                <w:highlight w:val="yellow"/>
                <w:lang w:val="uk-UA"/>
              </w:rPr>
            </w:pPr>
            <w:r w:rsidRPr="00554E35">
              <w:rPr>
                <w:rFonts w:ascii="Times New Roman" w:hAnsi="Times New Roman" w:cs="Times New Roman"/>
                <w:szCs w:val="20"/>
                <w:highlight w:val="yellow"/>
                <w:lang w:val="uk-UA"/>
              </w:rPr>
              <w:lastRenderedPageBreak/>
              <w:t xml:space="preserve">1.1. Наявність </w:t>
            </w:r>
            <w:r w:rsidRPr="00554E35">
              <w:rPr>
                <w:rFonts w:ascii="Times New Roman" w:hAnsi="Times New Roman" w:cs="Times New Roman"/>
                <w:szCs w:val="20"/>
                <w:highlight w:val="yellow"/>
                <w:shd w:val="clear" w:color="auto" w:fill="FFFFFF"/>
                <w:lang w:val="uk-UA"/>
              </w:rPr>
              <w:t>обладнання, матеріально-технічної бази та технологій</w:t>
            </w:r>
            <w:r w:rsidRPr="00554E35">
              <w:rPr>
                <w:rFonts w:ascii="Times New Roman" w:hAnsi="Times New Roman" w:cs="Times New Roman"/>
                <w:szCs w:val="20"/>
                <w:highlight w:val="yellow"/>
                <w:lang w:val="uk-UA"/>
              </w:rPr>
              <w:t>:</w:t>
            </w:r>
          </w:p>
          <w:p w14:paraId="6CD0850F" w14:textId="77777777" w:rsidR="00405AE2" w:rsidRPr="00554E35" w:rsidRDefault="00405AE2" w:rsidP="00405AE2">
            <w:pPr>
              <w:jc w:val="both"/>
              <w:rPr>
                <w:rFonts w:ascii="Times New Roman" w:hAnsi="Times New Roman" w:cs="Times New Roman"/>
                <w:szCs w:val="20"/>
                <w:highlight w:val="yellow"/>
                <w:lang w:val="uk-UA"/>
              </w:rPr>
            </w:pPr>
            <w:r w:rsidRPr="00554E35">
              <w:rPr>
                <w:rFonts w:ascii="Times New Roman" w:hAnsi="Times New Roman" w:cs="Times New Roman"/>
                <w:szCs w:val="20"/>
                <w:highlight w:val="yellow"/>
                <w:lang w:val="uk-UA"/>
              </w:rPr>
              <w:t xml:space="preserve">1.1.1 </w:t>
            </w:r>
            <w:r w:rsidRPr="00554E35">
              <w:rPr>
                <w:rFonts w:ascii="Times New Roman" w:eastAsia="Courier New" w:hAnsi="Times New Roman" w:cs="Times New Roman"/>
                <w:szCs w:val="20"/>
                <w:highlight w:val="yellow"/>
                <w:lang w:val="uk-UA"/>
              </w:rPr>
              <w:t xml:space="preserve">Довідка в довільній формі, що містить </w:t>
            </w:r>
            <w:r w:rsidRPr="00554E35">
              <w:rPr>
                <w:rFonts w:ascii="Times New Roman" w:hAnsi="Times New Roman" w:cs="Times New Roman"/>
                <w:szCs w:val="20"/>
                <w:highlight w:val="yellow"/>
                <w:lang w:val="uk-UA"/>
              </w:rPr>
              <w:t xml:space="preserve">відомості про наявність у учасника складських приміщень (далі за текстом – Складське приміщення), що знаходяться в радіусі 15 км. (по прямій лінії) від </w:t>
            </w:r>
            <w:r w:rsidRPr="00554E35">
              <w:rPr>
                <w:rFonts w:ascii="Times New Roman" w:eastAsia="Times New Roman" w:hAnsi="Times New Roman" w:cs="Times New Roman"/>
                <w:bCs/>
                <w:highlight w:val="yellow"/>
                <w:lang w:val="uk-UA"/>
              </w:rPr>
              <w:t>місцезнаходження Замовника (65091, Одеська обл., місто Одеса, СЕРЕДИНСЬКИЙ СКВЕР, будинок 1).</w:t>
            </w:r>
            <w:r w:rsidRPr="00554E35">
              <w:rPr>
                <w:rFonts w:ascii="Times New Roman" w:hAnsi="Times New Roman" w:cs="Times New Roman"/>
                <w:szCs w:val="20"/>
                <w:highlight w:val="yellow"/>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 </w:t>
            </w:r>
          </w:p>
          <w:p w14:paraId="168D7F6C" w14:textId="77777777" w:rsidR="00405AE2" w:rsidRPr="00554E35" w:rsidRDefault="00405AE2" w:rsidP="00405AE2">
            <w:pPr>
              <w:jc w:val="both"/>
              <w:rPr>
                <w:rFonts w:ascii="Times New Roman" w:hAnsi="Times New Roman" w:cs="Times New Roman"/>
                <w:szCs w:val="20"/>
                <w:highlight w:val="yellow"/>
                <w:lang w:val="uk-UA"/>
              </w:rPr>
            </w:pPr>
            <w:r w:rsidRPr="00554E35">
              <w:rPr>
                <w:rFonts w:ascii="Times New Roman" w:hAnsi="Times New Roman" w:cs="Times New Roman"/>
                <w:szCs w:val="20"/>
                <w:highlight w:val="yellow"/>
                <w:lang w:val="uk-UA"/>
              </w:rPr>
              <w:t xml:space="preserve">1.1.2. </w:t>
            </w:r>
            <w:r w:rsidRPr="00554E35">
              <w:rPr>
                <w:rFonts w:ascii="Times New Roman" w:eastAsia="Courier New" w:hAnsi="Times New Roman" w:cs="Times New Roman"/>
                <w:szCs w:val="20"/>
                <w:highlight w:val="yellow"/>
                <w:lang w:val="uk-UA"/>
              </w:rPr>
              <w:t>Довідка в довільній формі, що містить</w:t>
            </w:r>
            <w:r w:rsidRPr="00554E35">
              <w:rPr>
                <w:rFonts w:ascii="Times New Roman" w:hAnsi="Times New Roman" w:cs="Times New Roman"/>
                <w:szCs w:val="20"/>
                <w:highlight w:val="yellow"/>
                <w:lang w:val="uk-UA"/>
              </w:rPr>
              <w:t xml:space="preserve"> інформацію про наявність у учасника у Складському приміщенні запасів предмету закупівлі в кількості достатній для поставки товару в повному обсязі згідно умов цієї закупівлі, а також, що містить прізвище, ім’я та по-батькові уповноваженого представника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учаснику повідомлення про час </w:t>
            </w:r>
            <w:r w:rsidRPr="00554E35">
              <w:rPr>
                <w:rFonts w:ascii="Times New Roman" w:hAnsi="Times New Roman" w:cs="Times New Roman"/>
                <w:szCs w:val="20"/>
                <w:highlight w:val="yellow"/>
                <w:lang w:val="uk-UA"/>
              </w:rPr>
              <w:lastRenderedPageBreak/>
              <w:t xml:space="preserve">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w:t>
            </w:r>
          </w:p>
          <w:p w14:paraId="0A20C1C3" w14:textId="4D5E0629" w:rsidR="00A92529" w:rsidRPr="00554E35" w:rsidRDefault="00405AE2" w:rsidP="00405AE2">
            <w:pPr>
              <w:jc w:val="both"/>
              <w:rPr>
                <w:rFonts w:ascii="Times New Roman" w:hAnsi="Times New Roman" w:cs="Times New Roman"/>
                <w:b/>
                <w:sz w:val="20"/>
                <w:szCs w:val="20"/>
                <w:lang w:val="uk-UA"/>
              </w:rPr>
            </w:pPr>
            <w:r w:rsidRPr="00554E35">
              <w:rPr>
                <w:rFonts w:ascii="Times New Roman" w:hAnsi="Times New Roman" w:cs="Times New Roman"/>
                <w:szCs w:val="20"/>
                <w:highlight w:val="yellow"/>
                <w:lang w:val="uk-UA"/>
              </w:rPr>
              <w:t>1.1.2.1. Замовник має право здійснити виїзд на місце знаходження Складських приміщень, зазначених в тендерній пропозиції учасника та скласти відповідний комісійний акт (про згоду з чим учасник має надати довідку в довільній формі в складі тендерної пропозиції).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тендерної пропозиції такого учасника</w:t>
            </w:r>
            <w:r w:rsidRPr="00554E35">
              <w:rPr>
                <w:rFonts w:ascii="Times New Roman" w:hAnsi="Times New Roman" w:cs="Times New Roman"/>
                <w:szCs w:val="20"/>
                <w:lang w:val="uk-UA"/>
              </w:rPr>
              <w:t>.</w:t>
            </w:r>
          </w:p>
        </w:tc>
      </w:tr>
    </w:tbl>
    <w:p w14:paraId="7D9665C9" w14:textId="77777777" w:rsidR="0039597C" w:rsidRPr="00554E35" w:rsidRDefault="0039597C" w:rsidP="00011534">
      <w:pPr>
        <w:rPr>
          <w:rFonts w:ascii="Times New Roman" w:hAnsi="Times New Roman" w:cs="Times New Roman"/>
          <w:lang w:val="uk-UA"/>
        </w:rPr>
      </w:pPr>
    </w:p>
    <w:sectPr w:rsidR="0039597C" w:rsidRPr="00554E35" w:rsidSect="00312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927FA"/>
    <w:rsid w:val="000A0910"/>
    <w:rsid w:val="000A57C1"/>
    <w:rsid w:val="000D4CBD"/>
    <w:rsid w:val="000E029B"/>
    <w:rsid w:val="000E4C61"/>
    <w:rsid w:val="00132B66"/>
    <w:rsid w:val="00142970"/>
    <w:rsid w:val="00157C94"/>
    <w:rsid w:val="00176334"/>
    <w:rsid w:val="001A1FC7"/>
    <w:rsid w:val="001A5B6A"/>
    <w:rsid w:val="001B255E"/>
    <w:rsid w:val="001C55BA"/>
    <w:rsid w:val="00200738"/>
    <w:rsid w:val="002261A5"/>
    <w:rsid w:val="00227BE7"/>
    <w:rsid w:val="00290640"/>
    <w:rsid w:val="002945C9"/>
    <w:rsid w:val="002E2372"/>
    <w:rsid w:val="00312FC5"/>
    <w:rsid w:val="003456B9"/>
    <w:rsid w:val="0039597C"/>
    <w:rsid w:val="003D1F67"/>
    <w:rsid w:val="00403FA8"/>
    <w:rsid w:val="00405AE2"/>
    <w:rsid w:val="00407BFF"/>
    <w:rsid w:val="00415238"/>
    <w:rsid w:val="00446E9F"/>
    <w:rsid w:val="004672B5"/>
    <w:rsid w:val="00482B7E"/>
    <w:rsid w:val="004B3F5E"/>
    <w:rsid w:val="004D411C"/>
    <w:rsid w:val="004D4624"/>
    <w:rsid w:val="004F13A6"/>
    <w:rsid w:val="00500B81"/>
    <w:rsid w:val="00502B5C"/>
    <w:rsid w:val="0052179B"/>
    <w:rsid w:val="005300E0"/>
    <w:rsid w:val="00540C8A"/>
    <w:rsid w:val="005501A2"/>
    <w:rsid w:val="00554E35"/>
    <w:rsid w:val="00573EDC"/>
    <w:rsid w:val="005A0620"/>
    <w:rsid w:val="005A294D"/>
    <w:rsid w:val="005D2418"/>
    <w:rsid w:val="005D447A"/>
    <w:rsid w:val="005F200A"/>
    <w:rsid w:val="00600120"/>
    <w:rsid w:val="0062379F"/>
    <w:rsid w:val="00631A9E"/>
    <w:rsid w:val="00651F72"/>
    <w:rsid w:val="00667738"/>
    <w:rsid w:val="006926DB"/>
    <w:rsid w:val="006A7EE0"/>
    <w:rsid w:val="006C14E0"/>
    <w:rsid w:val="006C4532"/>
    <w:rsid w:val="006E2457"/>
    <w:rsid w:val="006E2DB0"/>
    <w:rsid w:val="007132BE"/>
    <w:rsid w:val="00740C6D"/>
    <w:rsid w:val="007867BD"/>
    <w:rsid w:val="007A166C"/>
    <w:rsid w:val="007B4300"/>
    <w:rsid w:val="008055E1"/>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F09CF"/>
    <w:rsid w:val="00AF76F0"/>
    <w:rsid w:val="00B67377"/>
    <w:rsid w:val="00BA10F6"/>
    <w:rsid w:val="00BA4363"/>
    <w:rsid w:val="00BD3C5F"/>
    <w:rsid w:val="00BF688E"/>
    <w:rsid w:val="00C101F2"/>
    <w:rsid w:val="00C53444"/>
    <w:rsid w:val="00C837D4"/>
    <w:rsid w:val="00CD1ED9"/>
    <w:rsid w:val="00CE5E5D"/>
    <w:rsid w:val="00CF3654"/>
    <w:rsid w:val="00D02EEB"/>
    <w:rsid w:val="00D16722"/>
    <w:rsid w:val="00D524C2"/>
    <w:rsid w:val="00D72BAB"/>
    <w:rsid w:val="00D72F68"/>
    <w:rsid w:val="00D74B9F"/>
    <w:rsid w:val="00DB1239"/>
    <w:rsid w:val="00DC4CF3"/>
    <w:rsid w:val="00E30708"/>
    <w:rsid w:val="00E342D8"/>
    <w:rsid w:val="00E356F8"/>
    <w:rsid w:val="00E46C80"/>
    <w:rsid w:val="00E512FA"/>
    <w:rsid w:val="00E559D0"/>
    <w:rsid w:val="00E67CD3"/>
    <w:rsid w:val="00E91E96"/>
    <w:rsid w:val="00EC09CC"/>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734</Words>
  <Characters>4186</Characters>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2023-11-26T14:29:00Z</dcterms:modified>
</cp:coreProperties>
</file>