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CF" w:rsidRPr="00F556CF" w:rsidRDefault="00F556CF" w:rsidP="00F556CF">
      <w:pPr>
        <w:spacing w:after="0" w:line="240" w:lineRule="auto"/>
        <w:jc w:val="right"/>
        <w:rPr>
          <w:rFonts w:ascii="Times New Roman" w:hAnsi="Times New Roman" w:cs="Times New Roman"/>
          <w:b/>
          <w:szCs w:val="32"/>
          <w:u w:val="single"/>
          <w:lang w:val="uk-UA"/>
        </w:rPr>
      </w:pPr>
      <w:r w:rsidRPr="00F556CF">
        <w:rPr>
          <w:rFonts w:ascii="Times New Roman" w:hAnsi="Times New Roman" w:cs="Times New Roman"/>
          <w:b/>
          <w:szCs w:val="32"/>
          <w:u w:val="single"/>
          <w:lang w:val="uk-UA"/>
        </w:rPr>
        <w:t>ДОДАТОК  № 3</w:t>
      </w:r>
    </w:p>
    <w:p w:rsidR="00F556CF" w:rsidRPr="00F556CF" w:rsidRDefault="00F556CF" w:rsidP="00F556CF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lang w:val="uk-UA"/>
        </w:rPr>
      </w:pPr>
    </w:p>
    <w:p w:rsidR="00EE2FFF" w:rsidRPr="00F556CF" w:rsidRDefault="00F556CF" w:rsidP="00F5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6CF">
        <w:rPr>
          <w:rFonts w:ascii="Times New Roman" w:hAnsi="Times New Roman" w:cs="Times New Roman"/>
          <w:b/>
          <w:sz w:val="24"/>
          <w:szCs w:val="24"/>
          <w:lang w:val="uk-UA"/>
        </w:rPr>
        <w:t>ТЕХНІЧНА, ЯКІСНА ТА КІЛЬКІСНА ХАРАКТЕРИСТИКА ПРЕДМЕТУ ЗАКУПІВЛІ (технічне завдання):</w:t>
      </w:r>
    </w:p>
    <w:p w:rsidR="00780853" w:rsidRPr="00780853" w:rsidRDefault="00780853" w:rsidP="00F556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08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Виготовлення проектно-кошторисної документації та виконання функції Замовника експертизи ПКД по об’єкту: «</w:t>
      </w:r>
      <w:r w:rsidR="008319C4" w:rsidRPr="008319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Капітальний ремонт будівлі міської станції юних техніків м. Миколаєва за адресою: м. Миколаїв, вул. Шкільна, 5, в частині заміни вікон та вхідних дверей, як заходи з енергозбереження з усунення аварії в бюджетній установі</w:t>
      </w:r>
      <w:r w:rsidRPr="007808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F556CF" w:rsidRPr="00F556CF" w:rsidTr="007C0E9F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556CF" w:rsidRPr="00F556CF" w:rsidRDefault="00F556CF" w:rsidP="007C0E9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F5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F5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021:2015: 71320000-7 - Послуги з інженерного проектування)</w:t>
            </w:r>
          </w:p>
        </w:tc>
      </w:tr>
    </w:tbl>
    <w:tbl>
      <w:tblPr>
        <w:tblStyle w:val="a3"/>
        <w:tblW w:w="10348" w:type="dxa"/>
        <w:tblInd w:w="-459" w:type="dxa"/>
        <w:tblLook w:val="04A0"/>
      </w:tblPr>
      <w:tblGrid>
        <w:gridCol w:w="709"/>
        <w:gridCol w:w="3260"/>
        <w:gridCol w:w="993"/>
        <w:gridCol w:w="5386"/>
      </w:tblGrid>
      <w:tr w:rsidR="003A654A" w:rsidRPr="00F556CF" w:rsidTr="00DC1815">
        <w:tc>
          <w:tcPr>
            <w:tcW w:w="709" w:type="dxa"/>
          </w:tcPr>
          <w:p w:rsidR="00EF580B" w:rsidRPr="00F556CF" w:rsidRDefault="00EF580B" w:rsidP="0020350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A654A" w:rsidRPr="00F556CF" w:rsidRDefault="003A654A" w:rsidP="0020350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</w:tcPr>
          <w:p w:rsidR="00EF580B" w:rsidRPr="00F556CF" w:rsidRDefault="00EF580B" w:rsidP="00203509">
            <w:pPr>
              <w:jc w:val="center"/>
              <w:rPr>
                <w:rFonts w:ascii="Times New Roman" w:hAnsi="Times New Roman" w:cs="Times New Roman"/>
                <w:color w:val="353535"/>
                <w:szCs w:val="28"/>
                <w:lang w:val="uk-UA"/>
              </w:rPr>
            </w:pPr>
          </w:p>
          <w:p w:rsidR="00173907" w:rsidRPr="00F556CF" w:rsidRDefault="003A654A" w:rsidP="00203509">
            <w:pPr>
              <w:jc w:val="center"/>
              <w:rPr>
                <w:rFonts w:ascii="Times New Roman" w:hAnsi="Times New Roman" w:cs="Times New Roman"/>
                <w:color w:val="353535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color w:val="353535"/>
                <w:szCs w:val="28"/>
                <w:lang w:val="uk-UA"/>
              </w:rPr>
              <w:t>Перелік основних даних та вимог</w:t>
            </w:r>
          </w:p>
          <w:p w:rsidR="003F6F81" w:rsidRPr="00F556CF" w:rsidRDefault="003F6F81" w:rsidP="00203509">
            <w:pPr>
              <w:jc w:val="center"/>
              <w:rPr>
                <w:rFonts w:ascii="Times New Roman" w:hAnsi="Times New Roman" w:cs="Times New Roman"/>
                <w:color w:val="353535"/>
                <w:szCs w:val="28"/>
                <w:lang w:val="uk-UA"/>
              </w:rPr>
            </w:pPr>
          </w:p>
        </w:tc>
        <w:tc>
          <w:tcPr>
            <w:tcW w:w="6379" w:type="dxa"/>
            <w:gridSpan w:val="2"/>
          </w:tcPr>
          <w:p w:rsidR="00EF580B" w:rsidRPr="00F556CF" w:rsidRDefault="00EF580B" w:rsidP="00203509">
            <w:pPr>
              <w:jc w:val="center"/>
              <w:rPr>
                <w:rFonts w:ascii="Times New Roman" w:hAnsi="Times New Roman" w:cs="Times New Roman"/>
                <w:color w:val="353535"/>
                <w:szCs w:val="28"/>
                <w:lang w:val="uk-UA"/>
              </w:rPr>
            </w:pPr>
          </w:p>
          <w:p w:rsidR="003A654A" w:rsidRPr="00F556CF" w:rsidRDefault="003A654A" w:rsidP="0020350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color w:val="353535"/>
                <w:szCs w:val="28"/>
                <w:lang w:val="uk-UA"/>
              </w:rPr>
              <w:t>Основні дані та вимоги</w:t>
            </w:r>
          </w:p>
        </w:tc>
      </w:tr>
      <w:tr w:rsidR="005E77DD" w:rsidRPr="008319C4" w:rsidTr="00DC1815">
        <w:tc>
          <w:tcPr>
            <w:tcW w:w="709" w:type="dxa"/>
            <w:vAlign w:val="center"/>
          </w:tcPr>
          <w:p w:rsidR="005E77DD" w:rsidRPr="00F556CF" w:rsidRDefault="00810BAA" w:rsidP="0015287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5E77DD" w:rsidRPr="00780853" w:rsidRDefault="00914AE7" w:rsidP="002B3E79">
            <w:pPr>
              <w:suppressAutoHyphens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80853">
              <w:rPr>
                <w:rFonts w:ascii="Times New Roman" w:hAnsi="Times New Roman"/>
                <w:szCs w:val="28"/>
                <w:lang w:val="uk-UA" w:eastAsia="zh-CN"/>
              </w:rPr>
              <w:t xml:space="preserve">Найменування та </w:t>
            </w:r>
            <w:r w:rsidR="00A0542B" w:rsidRPr="00780853">
              <w:rPr>
                <w:rFonts w:ascii="Times New Roman" w:hAnsi="Times New Roman"/>
                <w:szCs w:val="28"/>
                <w:lang w:val="uk-UA" w:eastAsia="zh-CN"/>
              </w:rPr>
              <w:t xml:space="preserve"> місце</w:t>
            </w:r>
            <w:r w:rsidR="002B3E79" w:rsidRPr="00780853">
              <w:rPr>
                <w:rFonts w:ascii="Times New Roman" w:hAnsi="Times New Roman"/>
                <w:szCs w:val="28"/>
                <w:lang w:val="uk-UA" w:eastAsia="zh-CN"/>
              </w:rPr>
              <w:t>знаходження прое</w:t>
            </w:r>
            <w:r w:rsidRPr="00780853">
              <w:rPr>
                <w:rFonts w:ascii="Times New Roman" w:hAnsi="Times New Roman"/>
                <w:szCs w:val="28"/>
                <w:lang w:val="uk-UA" w:eastAsia="zh-CN"/>
              </w:rPr>
              <w:t xml:space="preserve">ктованого </w:t>
            </w:r>
            <w:proofErr w:type="spellStart"/>
            <w:r w:rsidR="00A0542B" w:rsidRPr="00780853">
              <w:rPr>
                <w:rFonts w:ascii="Times New Roman" w:hAnsi="Times New Roman"/>
                <w:szCs w:val="28"/>
                <w:lang w:val="uk-UA" w:eastAsia="zh-CN"/>
              </w:rPr>
              <w:t>об′єкта</w:t>
            </w:r>
            <w:proofErr w:type="spellEnd"/>
          </w:p>
        </w:tc>
        <w:tc>
          <w:tcPr>
            <w:tcW w:w="6379" w:type="dxa"/>
            <w:gridSpan w:val="2"/>
          </w:tcPr>
          <w:p w:rsidR="005E77DD" w:rsidRPr="00951F78" w:rsidRDefault="00780853" w:rsidP="00D24D90">
            <w:pPr>
              <w:ind w:firstLine="34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780853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«</w:t>
            </w:r>
            <w:r w:rsidR="008319C4" w:rsidRPr="008319C4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Капітальний ремонт будівлі міської станції юних техніків м. Миколаєва за адресою: м. Миколаїв, вул. Шкільна, 5, в частині заміни вікон та вхідних дверей, як заходи з енергозбереження з усунення аварії в бюджетній установі</w:t>
            </w:r>
            <w:r w:rsidRPr="00780853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»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152878" w:rsidP="0015287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Вид будівництва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Капітальний ремонт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152878" w:rsidP="0015287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Замовник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uk-UA"/>
              </w:rPr>
            </w:pPr>
            <w:r w:rsidRPr="00F556CF">
              <w:rPr>
                <w:rFonts w:ascii="Times New Roman" w:eastAsia="Times New Roman" w:hAnsi="Times New Roman" w:cs="Times New Roman"/>
                <w:bCs/>
                <w:szCs w:val="28"/>
                <w:lang w:val="uk-UA"/>
              </w:rPr>
              <w:t xml:space="preserve">Департамент енергетики, енергозбереження та </w:t>
            </w:r>
          </w:p>
          <w:p w:rsidR="00914AE7" w:rsidRPr="00F556CF" w:rsidRDefault="00914AE7" w:rsidP="0015287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uk-UA"/>
              </w:rPr>
            </w:pPr>
            <w:r w:rsidRPr="00F556CF">
              <w:rPr>
                <w:rFonts w:ascii="Times New Roman" w:eastAsia="Times New Roman" w:hAnsi="Times New Roman" w:cs="Times New Roman"/>
                <w:bCs/>
                <w:szCs w:val="28"/>
                <w:lang w:val="uk-UA"/>
              </w:rPr>
              <w:t>запровадження інноваційних технологій Миколаївської міської ради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152878" w:rsidP="0015287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Місцезнаходження</w:t>
            </w:r>
          </w:p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Замовника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54001, Миколаївська область, м. Миколаїв,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вул. Адміральська, 20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Код ЄДРПОУ 41210490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тел. (0512) 37-10-70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e-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mail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: d_energy@mk.rada.gov.ua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07273F" w:rsidP="00152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Джерело фінансування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Кошти міського бюджету</w:t>
            </w:r>
          </w:p>
        </w:tc>
      </w:tr>
      <w:tr w:rsidR="009C1286" w:rsidRPr="00F556CF" w:rsidTr="00DC1815">
        <w:tc>
          <w:tcPr>
            <w:tcW w:w="709" w:type="dxa"/>
            <w:vAlign w:val="center"/>
          </w:tcPr>
          <w:p w:rsidR="009C1286" w:rsidRPr="00F556CF" w:rsidRDefault="0007273F" w:rsidP="00152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60" w:type="dxa"/>
          </w:tcPr>
          <w:p w:rsidR="009C1286" w:rsidRPr="00F556CF" w:rsidRDefault="009C1286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F556CF"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</w:rPr>
              <w:t>Розрахункова</w:t>
            </w:r>
            <w:proofErr w:type="spellEnd"/>
            <w:r w:rsidRPr="00F556CF"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</w:rPr>
              <w:t>вартість</w:t>
            </w:r>
            <w:proofErr w:type="spellEnd"/>
            <w:r w:rsidRPr="00F556CF"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bCs/>
                <w:color w:val="222222"/>
                <w:szCs w:val="28"/>
                <w:shd w:val="clear" w:color="auto" w:fill="FFFFFF"/>
              </w:rPr>
              <w:t>будівництва</w:t>
            </w:r>
            <w:proofErr w:type="spellEnd"/>
          </w:p>
        </w:tc>
        <w:tc>
          <w:tcPr>
            <w:tcW w:w="6379" w:type="dxa"/>
            <w:gridSpan w:val="2"/>
          </w:tcPr>
          <w:p w:rsidR="009C1286" w:rsidRPr="00F556CF" w:rsidRDefault="009C1286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Визначається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проектуванні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відповідно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вимог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діючих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ДБН Д.1.1-1-2000-«Правила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визначення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вартості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будівництва</w:t>
            </w:r>
            <w:proofErr w:type="spellEnd"/>
            <w:r w:rsidRPr="00F556CF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»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07273F" w:rsidP="00152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Черговість будівництва,</w:t>
            </w:r>
          </w:p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необхідність виділення пускових комплексів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В одну чергу,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без виділення пускових комплексів</w:t>
            </w:r>
          </w:p>
        </w:tc>
      </w:tr>
      <w:tr w:rsidR="00914AE7" w:rsidRPr="008319C4" w:rsidTr="00DC1815">
        <w:tc>
          <w:tcPr>
            <w:tcW w:w="709" w:type="dxa"/>
            <w:vAlign w:val="center"/>
          </w:tcPr>
          <w:p w:rsidR="00914AE7" w:rsidRPr="00F556CF" w:rsidRDefault="0007273F" w:rsidP="00152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Підстава для виконання робіт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color w:val="FF0000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А) Договір</w:t>
            </w:r>
            <w:r w:rsidR="00DC1815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№____ від________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на </w:t>
            </w:r>
            <w:r w:rsidR="00192137" w:rsidRPr="00F556CF">
              <w:rPr>
                <w:rFonts w:ascii="Times New Roman" w:hAnsi="Times New Roman" w:cs="Times New Roman"/>
                <w:szCs w:val="28"/>
                <w:lang w:val="uk-UA"/>
              </w:rPr>
              <w:t>виконання</w:t>
            </w:r>
            <w:r w:rsidR="002B3E79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роботи з </w:t>
            </w:r>
            <w:r w:rsidR="00780853">
              <w:rPr>
                <w:rFonts w:ascii="Times New Roman" w:hAnsi="Times New Roman" w:cs="Times New Roman"/>
                <w:szCs w:val="28"/>
                <w:lang w:val="uk-UA"/>
              </w:rPr>
              <w:t>в</w:t>
            </w:r>
            <w:r w:rsidR="00780853" w:rsidRPr="00780853">
              <w:rPr>
                <w:rFonts w:ascii="Times New Roman" w:hAnsi="Times New Roman" w:cs="Times New Roman"/>
                <w:szCs w:val="28"/>
                <w:lang w:val="uk-UA"/>
              </w:rPr>
              <w:t>иготовлення проектно-кошторисної документації та виконання функції Замовника експертизи ПКД по об’єкту: «</w:t>
            </w:r>
            <w:r w:rsidR="008319C4" w:rsidRPr="008319C4">
              <w:rPr>
                <w:rFonts w:ascii="Times New Roman" w:hAnsi="Times New Roman" w:cs="Times New Roman"/>
                <w:szCs w:val="28"/>
                <w:lang w:val="uk-UA"/>
              </w:rPr>
              <w:t>Капітальний ремонт будівлі міської станції юних техніків м. Миколаєва за адресою: м. Миколаїв, вул. Шкільна, 5, в частині заміни вікон та вхідних дверей, як заходи з енергозбереження з усунення аварії в бюджетній установі</w:t>
            </w:r>
            <w:r w:rsidR="00780853" w:rsidRPr="00780853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  <w:r w:rsidR="00951F78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19213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та виконання функції Замовника експертизи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ПКД робочого проекту.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Б) Вихідні дані для об’єкта, які надає Замовник:</w:t>
            </w:r>
          </w:p>
          <w:p w:rsidR="00D24D90" w:rsidRPr="00F556CF" w:rsidRDefault="00D24D90" w:rsidP="00D24D9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 Завдання на проектування;</w:t>
            </w:r>
          </w:p>
          <w:p w:rsidR="00D24D90" w:rsidRPr="00F556CF" w:rsidRDefault="00D24D90" w:rsidP="00D24D9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 Технічний паспорт БТІ на будівлю.</w:t>
            </w:r>
          </w:p>
          <w:p w:rsidR="00D24D90" w:rsidRPr="00F556CF" w:rsidRDefault="00D24D90" w:rsidP="00D24D90">
            <w:pPr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Примітка:</w:t>
            </w:r>
          </w:p>
          <w:p w:rsidR="00914AE7" w:rsidRPr="00F556CF" w:rsidRDefault="00D24D90" w:rsidP="00D24D90">
            <w:pPr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Згідно п.27 «Переліку об’єктів будівництва, для проектування яких містобудівні умови та обмеження не надаються» (затвердженого Наказом Міністерства регіонального розвитку, будівництва та житлово-комунального господарства України 06.11.2017 № 289) містобудівні умови та обмеження не надаються.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07273F" w:rsidP="00152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60" w:type="dxa"/>
          </w:tcPr>
          <w:p w:rsidR="00914AE7" w:rsidRPr="00F556CF" w:rsidRDefault="002B3E79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Стадійність прое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ктування з визначенням </w:t>
            </w:r>
            <w:proofErr w:type="spellStart"/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>затверджувальної</w:t>
            </w:r>
            <w:proofErr w:type="spellEnd"/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стадії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D24D90">
            <w:pPr>
              <w:ind w:right="-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В одну стадію - робочий проект (РП) 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F556CF">
              <w:rPr>
                <w:rFonts w:ascii="Times New Roman" w:hAnsi="Times New Roman" w:cs="Times New Roman"/>
                <w:szCs w:val="28"/>
              </w:rPr>
              <w:t>Визначення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</w:rPr>
              <w:t>класу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</w:rPr>
              <w:t>наслідків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F556CF">
              <w:rPr>
                <w:rFonts w:ascii="Times New Roman" w:hAnsi="Times New Roman" w:cs="Times New Roman"/>
                <w:szCs w:val="28"/>
              </w:rPr>
              <w:lastRenderedPageBreak/>
              <w:t>(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</w:rPr>
              <w:t>відповідальності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</w:rPr>
              <w:t xml:space="preserve">), </w:t>
            </w:r>
          </w:p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t xml:space="preserve">та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строк ефективної експлуатації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pStyle w:val="2"/>
              <w:shd w:val="clear" w:color="auto" w:fill="FFFFFF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5E6D81"/>
                <w:sz w:val="22"/>
                <w:szCs w:val="28"/>
                <w:lang w:val="ru-RU" w:eastAsia="ru-RU"/>
              </w:rPr>
            </w:pPr>
            <w:r w:rsidRPr="00F556CF">
              <w:rPr>
                <w:rFonts w:ascii="Times New Roman" w:hAnsi="Times New Roman"/>
                <w:b w:val="0"/>
                <w:color w:val="000000"/>
                <w:sz w:val="22"/>
                <w:szCs w:val="28"/>
              </w:rPr>
              <w:lastRenderedPageBreak/>
              <w:t xml:space="preserve">Визначити клас наслідків (відповідальності) об’єкту відповідно </w:t>
            </w:r>
            <w:r w:rsidRPr="00F556CF">
              <w:rPr>
                <w:rFonts w:ascii="Times New Roman" w:hAnsi="Times New Roman"/>
                <w:b w:val="0"/>
                <w:color w:val="000000"/>
                <w:sz w:val="22"/>
                <w:szCs w:val="28"/>
              </w:rPr>
              <w:lastRenderedPageBreak/>
              <w:t xml:space="preserve">до будівельних норм та будівельних стандартів згідно </w:t>
            </w:r>
            <w:r w:rsidRPr="00F556C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8"/>
                <w:lang w:val="ru-RU" w:eastAsia="ru-RU"/>
              </w:rPr>
              <w:t>ДСТУ 8855:2019</w:t>
            </w:r>
            <w:r w:rsidR="008D1B8F" w:rsidRPr="00F556C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8"/>
                <w:lang w:val="ru-RU" w:eastAsia="ru-RU"/>
              </w:rPr>
              <w:t>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Відповідний розрахунок, що виконує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ГІП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, або ГАП, затверджується керівником проектної організації,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та погоджується Замовником.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Строк ефективної експлуатації </w:t>
            </w:r>
            <w:r w:rsidR="003E4D2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енергозберігаючих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віконних та дверних блоків із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ПВХ-профілів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: Т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ef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= 20років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AA0615"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згідно п.</w:t>
            </w: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12.1.3 ДСТУ Б В.2.6-15:2011)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Якість робіт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Проектна документація повинна відповідати положенням чинного законодавства України, вимогам будівельних норм та нормативних документів. За позитивне проведення експертизи проектної документації відповідає Проектувальник.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Якість матеріалів, </w:t>
            </w:r>
          </w:p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та виробів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ind w:left="-57" w:right="-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Матеріали, та вироби зазначені в проектній документації мають відповідати нормам, стандартам, якісним показникам і технічним вимогам, що встановлені чинними нормативними актами, і підтверджуватися сертифікатами якості та / або технічними паспортами, іншими документами, </w:t>
            </w:r>
          </w:p>
          <w:p w:rsidR="00914AE7" w:rsidRPr="00F556CF" w:rsidRDefault="00914AE7" w:rsidP="00152878">
            <w:pPr>
              <w:ind w:left="-57" w:right="-11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що підтверджують їх якісні характеристики.</w:t>
            </w:r>
          </w:p>
        </w:tc>
      </w:tr>
      <w:tr w:rsidR="00914AE7" w:rsidRPr="008319C4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914AE7" w:rsidRPr="00F556CF" w:rsidRDefault="002B3E79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Обсяги прое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>ктних робіт</w:t>
            </w:r>
          </w:p>
        </w:tc>
        <w:tc>
          <w:tcPr>
            <w:tcW w:w="6379" w:type="dxa"/>
            <w:gridSpan w:val="2"/>
          </w:tcPr>
          <w:p w:rsidR="00914AE7" w:rsidRPr="00F556CF" w:rsidRDefault="002B3E79" w:rsidP="00152878">
            <w:pPr>
              <w:ind w:right="-57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Прое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>ктно-кошторисною документацією передбачити: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  <w:r w:rsidR="00A55F7C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заміну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існуючих віконних блоків з дерев’яними рамами на </w:t>
            </w:r>
            <w:r w:rsidR="004855EA" w:rsidRPr="00F556CF">
              <w:rPr>
                <w:rFonts w:ascii="Times New Roman" w:hAnsi="Times New Roman" w:cs="Times New Roman"/>
                <w:szCs w:val="28"/>
                <w:lang w:val="uk-UA"/>
              </w:rPr>
              <w:t>енергозберігаючі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віконні блоки з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ПВХ-профілю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та двокамерними</w:t>
            </w:r>
            <w:r w:rsidR="00DC1815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склопакетами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; </w:t>
            </w:r>
          </w:p>
          <w:p w:rsidR="00A01D9B" w:rsidRPr="00F556CF" w:rsidRDefault="00A55F7C" w:rsidP="00A01D9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- заміну 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зовнішніх дверних блоків на дверні блоки з </w:t>
            </w:r>
            <w:proofErr w:type="spellStart"/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>ПВХ-профілю</w:t>
            </w:r>
            <w:proofErr w:type="spellEnd"/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E60B1C" w:rsidRPr="00F556CF" w:rsidRDefault="00E60B1C" w:rsidP="002B3E7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 улаштування внутрішніх та зовнішніх укосів;</w:t>
            </w:r>
          </w:p>
          <w:p w:rsidR="00E60B1C" w:rsidRPr="00F556CF" w:rsidRDefault="00A55F7C" w:rsidP="002B3E79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- </w:t>
            </w:r>
            <w:r w:rsidR="00E60B1C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улаштування </w:t>
            </w:r>
            <w:r w:rsidR="00EC217C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нових </w:t>
            </w:r>
            <w:r w:rsidR="00E60B1C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віконних </w:t>
            </w:r>
            <w:r w:rsidR="00EC217C" w:rsidRPr="00F556CF">
              <w:rPr>
                <w:rFonts w:ascii="Times New Roman" w:hAnsi="Times New Roman" w:cs="Times New Roman"/>
                <w:szCs w:val="28"/>
                <w:lang w:val="uk-UA"/>
              </w:rPr>
              <w:t>відливів</w:t>
            </w:r>
            <w:r w:rsidR="00E60B1C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та підвіконних </w:t>
            </w:r>
            <w:proofErr w:type="spellStart"/>
            <w:r w:rsidR="00E60B1C" w:rsidRPr="00F556CF">
              <w:rPr>
                <w:rFonts w:ascii="Times New Roman" w:hAnsi="Times New Roman" w:cs="Times New Roman"/>
                <w:szCs w:val="28"/>
                <w:lang w:val="uk-UA"/>
              </w:rPr>
              <w:t>дошок</w:t>
            </w:r>
            <w:proofErr w:type="spellEnd"/>
            <w:r w:rsidR="00E60B1C" w:rsidRPr="00F556CF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E60B1C" w:rsidRPr="00F556CF" w:rsidRDefault="00E60B1C" w:rsidP="00E60B1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- передбачити відновлення оздоблення стін, що будуть пошкоджені після робіт з демонтажу та монтажу вікон та підвіконь. 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Вимоги до розробки ПКД, щ</w:t>
            </w:r>
            <w:r w:rsidRPr="00F556CF">
              <w:rPr>
                <w:rFonts w:ascii="Times New Roman" w:hAnsi="Times New Roman" w:cs="Times New Roman"/>
                <w:szCs w:val="28"/>
              </w:rPr>
              <w:t xml:space="preserve">о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видається Замовнику</w:t>
            </w:r>
          </w:p>
        </w:tc>
        <w:tc>
          <w:tcPr>
            <w:tcW w:w="6379" w:type="dxa"/>
            <w:gridSpan w:val="2"/>
          </w:tcPr>
          <w:p w:rsidR="00914AE7" w:rsidRPr="00F556CF" w:rsidRDefault="002B3E79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Прое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ктна документація повинна бути розроблена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у відповідності до: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1) Завдання на проектування;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2) </w:t>
            </w:r>
            <w:r w:rsidR="00DD1197" w:rsidRPr="00F556CF">
              <w:rPr>
                <w:rFonts w:ascii="Times New Roman" w:hAnsi="Times New Roman" w:cs="Times New Roman"/>
                <w:szCs w:val="28"/>
                <w:lang w:val="uk-UA"/>
              </w:rPr>
              <w:t>Д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іючих нормативних документів у сфері будівництва.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1) </w:t>
            </w:r>
            <w:r w:rsidRPr="00F556CF">
              <w:rPr>
                <w:rFonts w:ascii="Times New Roman" w:hAnsi="Times New Roman" w:cs="Times New Roman"/>
                <w:szCs w:val="28"/>
                <w:u w:val="single"/>
                <w:lang w:val="uk-UA"/>
              </w:rPr>
              <w:t>До передачі ПКД на експертизу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, Замовнику передається: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 два примірника ПКД у паперовому виді;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 текстові та графічні частини проектної документації в електронному виді у форматі «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en-US"/>
              </w:rPr>
              <w:t>pdf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»;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- кошториси в електронному виді -  файлом формату інформаційних моделей з розширенням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ims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. 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imd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. 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imp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2) </w:t>
            </w:r>
            <w:r w:rsidRPr="00F556CF">
              <w:rPr>
                <w:rFonts w:ascii="Times New Roman" w:hAnsi="Times New Roman" w:cs="Times New Roman"/>
                <w:szCs w:val="28"/>
                <w:u w:val="single"/>
                <w:lang w:val="uk-UA"/>
              </w:rPr>
              <w:t>Після отримання позитивного експертного звіту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,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разом з його оригіналом,</w:t>
            </w:r>
            <w:r w:rsidRPr="00F556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Замовнику передається: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- чотири примірника ПКД у паперовому виді;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- текстові та графічні частини проектної документації в електронному виді у форматі «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pdf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»;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- кошториси в електронному виді -  файлом формату інформаційних моделей з розширенням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ims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. 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imd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. 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imp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Вимоги до кошторисної частини ПКД, щ</w:t>
            </w:r>
            <w:r w:rsidRPr="00F556CF">
              <w:rPr>
                <w:rFonts w:ascii="Times New Roman" w:hAnsi="Times New Roman" w:cs="Times New Roman"/>
                <w:szCs w:val="28"/>
              </w:rPr>
              <w:t xml:space="preserve">о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видається</w:t>
            </w:r>
            <w:r w:rsidRPr="00F556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Замовнику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А) При розробці кошторисної частини ПКД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врахувати / включити: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1. До глави 10 ЗКР кошти на утримання служби Замовника </w:t>
            </w: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(включаючи витрати на </w:t>
            </w:r>
            <w:r w:rsidR="00C35760"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технічний</w:t>
            </w: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нагляд)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в розмірі 2,5%. </w:t>
            </w:r>
          </w:p>
          <w:p w:rsidR="0019213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2. До глави 10 ЗКР кошти на формування страхового фонду документації</w:t>
            </w:r>
            <w:r w:rsidR="00192137" w:rsidRPr="00F556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3. В ЗКР кошти на покриття ризику </w:t>
            </w:r>
            <w:r w:rsidR="00C35760" w:rsidRPr="00F556CF">
              <w:rPr>
                <w:rFonts w:ascii="Times New Roman" w:hAnsi="Times New Roman" w:cs="Times New Roman"/>
                <w:szCs w:val="28"/>
                <w:lang w:val="uk-UA"/>
              </w:rPr>
              <w:t>всіх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C35760" w:rsidRPr="00F556CF">
              <w:rPr>
                <w:rFonts w:ascii="Times New Roman" w:hAnsi="Times New Roman" w:cs="Times New Roman"/>
                <w:szCs w:val="28"/>
                <w:lang w:val="uk-UA"/>
              </w:rPr>
              <w:t>учасників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C35760" w:rsidRPr="00F556CF">
              <w:rPr>
                <w:rFonts w:ascii="Times New Roman" w:hAnsi="Times New Roman" w:cs="Times New Roman"/>
                <w:szCs w:val="28"/>
                <w:lang w:val="uk-UA"/>
              </w:rPr>
              <w:t>будівництва</w:t>
            </w:r>
            <w:r w:rsidR="00192137" w:rsidRPr="00F556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192137" w:rsidRPr="00F556CF" w:rsidRDefault="0019213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4. В ЗКР </w:t>
            </w:r>
            <w:r w:rsidR="00C35760" w:rsidRPr="00F556CF">
              <w:rPr>
                <w:rFonts w:ascii="Times New Roman" w:hAnsi="Times New Roman" w:cs="Times New Roman"/>
                <w:szCs w:val="28"/>
                <w:lang w:val="uk-UA"/>
              </w:rPr>
              <w:t>кошторисної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прибуток.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5. Розмір кошторисної заробітної плати на 202</w:t>
            </w:r>
            <w:r w:rsidR="00DD119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3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рік </w:t>
            </w:r>
          </w:p>
          <w:p w:rsidR="00914AE7" w:rsidRPr="00F556CF" w:rsidRDefault="00DD119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передбачити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13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500,00 грн., який враховується при визначенні вартості будівництва об’єктів, що здійснюється за рахунок </w:t>
            </w:r>
            <w:r w:rsidR="00914AE7" w:rsidRPr="00F556C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коштів міського бюджету м. Миколаєва і відповідає середньому розряду складності робіт у будівництві 3,8 при виконанні робіт у звичайних умовах </w:t>
            </w:r>
            <w:r w:rsidR="00914AE7"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(згідно наказу Департаменту енергетики, енергозбереження та запровадження інноваційних технологій Миколаївської міської ради 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від 05.05.2020р. №17)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914AE7" w:rsidRPr="00F556CF" w:rsidRDefault="00914AE7" w:rsidP="00DD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6. До глави 12 ЗКР включити вартість проектно-вишукувальних робіт, яку потрібно визначити окремим кошторисом за формою «№2-П», згідно </w:t>
            </w:r>
            <w:r w:rsidR="00DD1197" w:rsidRPr="00F556CF">
              <w:rPr>
                <w:rFonts w:ascii="Times New Roman" w:hAnsi="Times New Roman" w:cs="Times New Roman"/>
                <w:szCs w:val="28"/>
                <w:lang w:val="uk-UA"/>
              </w:rPr>
              <w:t>Настанови з визначення вартості проектних, науково-проектних, вишукувальних робіт та експертизи проектної документації на будівництво, розділ ІІ, п.2.1, Додаток 1.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color w:val="FF0000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7. До глави 12 ЗКР включити кошти на ведення авторського нагляду.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8. Під час складання кошторисів до глави 12 ЗКР включити вартість експертизи ПКД</w:t>
            </w:r>
            <w:r w:rsidR="00E2588D" w:rsidRPr="00F556CF">
              <w:rPr>
                <w:rFonts w:ascii="Times New Roman" w:hAnsi="Times New Roman" w:cs="Times New Roman"/>
                <w:szCs w:val="28"/>
                <w:lang w:val="uk-UA"/>
              </w:rPr>
              <w:t>, а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після отримання позитивного експертного звіту, відкоригувати</w:t>
            </w:r>
            <w:r w:rsidR="00810BAA"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(за необхідністю)</w:t>
            </w: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відповідно до фактичній вартості експертизи ПКД  згідно договору на її проведення з експертною організацією.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Б) Під час складання кошторисів поточні ціни на матеріальні ресурси прийняти за обґрунтованою ціною на підставі проведеного аналізу поточних цін на ринку будівельних матеріалів, виробів, конструкцій у регіоні, та до видачі ПКД та її подання на експертизу, погодити підсумкову відомість ресурсів у Замовника.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В) До видачі ПКД та її подання на експертизу погодити у Замовника відомість обсягів робіт до всіх локальних кошторисних розрахунків, виконаних за ресурсними елементними кошторисними нормами.</w:t>
            </w:r>
          </w:p>
          <w:p w:rsidR="00914AE7" w:rsidRPr="00F556CF" w:rsidRDefault="00914AE7" w:rsidP="00E2588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Г) Кошторисна документація повинна розроблятися на останній, діючій під час її розробки, версії програми «АВК-5» на українській мові.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/>
                <w:szCs w:val="28"/>
                <w:lang w:val="uk-UA" w:eastAsia="zh-CN"/>
              </w:rPr>
              <w:t>Вказівки про необхідність узгодження проектних рішень із зацікавленими відомствами:</w:t>
            </w:r>
          </w:p>
        </w:tc>
        <w:tc>
          <w:tcPr>
            <w:tcW w:w="6379" w:type="dxa"/>
            <w:gridSpan w:val="2"/>
          </w:tcPr>
          <w:p w:rsidR="002B3E79" w:rsidRPr="00F556CF" w:rsidRDefault="002B3E79" w:rsidP="002B3E79">
            <w:pPr>
              <w:suppressAutoHyphens/>
              <w:rPr>
                <w:rFonts w:ascii="Times New Roman" w:hAnsi="Times New Roman"/>
                <w:szCs w:val="28"/>
                <w:lang w:val="uk-UA" w:eastAsia="zh-CN"/>
              </w:rPr>
            </w:pPr>
            <w:r w:rsidRPr="00F556CF">
              <w:rPr>
                <w:rFonts w:ascii="Times New Roman" w:eastAsia="Symbol" w:hAnsi="Times New Roman" w:cs="Symbol"/>
                <w:szCs w:val="28"/>
                <w:lang w:val="uk-UA" w:eastAsia="zh-CN"/>
              </w:rPr>
              <w:t>Проектна документація на всіх стадіях підлягає узгодженню з Замовником.</w:t>
            </w:r>
          </w:p>
          <w:p w:rsidR="00914AE7" w:rsidRPr="00F556CF" w:rsidRDefault="00914AE7" w:rsidP="00152878">
            <w:pPr>
              <w:suppressAutoHyphens/>
              <w:snapToGrid w:val="0"/>
              <w:jc w:val="both"/>
              <w:rPr>
                <w:rFonts w:ascii="Times New Roman" w:hAnsi="Times New Roman"/>
                <w:color w:val="FF0000"/>
                <w:szCs w:val="28"/>
                <w:lang w:val="uk-UA" w:eastAsia="zh-CN"/>
              </w:rPr>
            </w:pPr>
            <w:r w:rsidRPr="00F556CF">
              <w:rPr>
                <w:rFonts w:ascii="Times New Roman" w:hAnsi="Times New Roman"/>
                <w:szCs w:val="28"/>
                <w:lang w:val="uk-UA"/>
              </w:rPr>
              <w:t>Забезпечити погодження експертизи проектно-кошторисної документації та отримати позитивний висновок</w:t>
            </w:r>
          </w:p>
        </w:tc>
      </w:tr>
      <w:tr w:rsidR="00914AE7" w:rsidRPr="008319C4" w:rsidTr="00DC1815">
        <w:tc>
          <w:tcPr>
            <w:tcW w:w="709" w:type="dxa"/>
            <w:vAlign w:val="center"/>
          </w:tcPr>
          <w:p w:rsidR="00914AE7" w:rsidRPr="00F556CF" w:rsidRDefault="009C1286" w:rsidP="0015287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07273F" w:rsidRPr="00F556CF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Нормативні та рекомендовані вимоги до Об’єкту </w:t>
            </w:r>
          </w:p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в цілому, та його окремих частин 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ПКД повинна передбачати:</w:t>
            </w:r>
          </w:p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1. Блоки віконні ПВХ відповідно до вимог </w:t>
            </w:r>
          </w:p>
          <w:p w:rsidR="00914AE7" w:rsidRPr="00F556CF" w:rsidRDefault="008D1B8F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ДСТУ EN 14351-1:2020 </w:t>
            </w:r>
            <w:r w:rsidR="00914AE7"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та ДСТУ Б В.2.6-15:2011.</w:t>
            </w:r>
          </w:p>
          <w:p w:rsidR="00914AE7" w:rsidRPr="00E77716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2. Вхідні двері не повинні мати запорів, що перешкоджають їх вільному відчиненню зсередини без ключа, відчинятися в напрямку виходу людей з будівлі, бути обладнанні пристроями для </w:t>
            </w:r>
            <w:r w:rsid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само зачинення.</w:t>
            </w: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</w:t>
            </w: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Відповідно до п. 7.3.28 ДБН В.1.1-7:2016 світлопрозора частина дверей повинна бути заповнена однокамерним склопакетом типу "СПО </w:t>
            </w:r>
            <w:r w:rsidR="00791532"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6</w:t>
            </w: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А-12Ar-6А"  із полірованого прозорого армованого скла  марки "А" товщиною 6,0мм  (ДСТУ Б В.2.7-107:2008, п.4.3, таблиця 1 та розділ 4, п.5.1.2 таблиця 3 ДСТУ Б</w:t>
            </w:r>
            <w:r w:rsidR="004B57C3"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В.2.7-148) армованого зварною</w:t>
            </w: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арматурною сіткою з розміром чарунок 12,5мм виробленою зі стального дроту діаметром не менше ніж 0,42мм.</w:t>
            </w:r>
          </w:p>
          <w:p w:rsidR="00914AE7" w:rsidRPr="00E77716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Непрозора частина дверей повинна бути заповнена </w:t>
            </w:r>
            <w:r w:rsidR="002B3E79"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двосторонньою</w:t>
            </w: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матовою трьохшаровою </w:t>
            </w:r>
            <w:proofErr w:type="spellStart"/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сендвіч-панел</w:t>
            </w:r>
            <w:r w:rsidR="002B3E79"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л</w:t>
            </w: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ю</w:t>
            </w:r>
            <w:proofErr w:type="spellEnd"/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загальною товщиною 32мм, колір: білий RAL-9016 з додатковим бронюванням з обох сторін оцинкованими металевими плоскими листами з захисним покриттям РЕ25;  </w:t>
            </w:r>
          </w:p>
          <w:p w:rsidR="00914AE7" w:rsidRPr="00E77716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Для забезпечення надійної експлуатації, двері повинні навішуватися на дві, посиленні, накладні петлі. </w:t>
            </w:r>
          </w:p>
          <w:p w:rsidR="00914AE7" w:rsidRPr="00E77716" w:rsidRDefault="00914AE7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Двері повинні мати замок (рейкового типу)</w:t>
            </w:r>
            <w:r w:rsidR="00676AA3"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</w:t>
            </w:r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та </w:t>
            </w:r>
            <w:proofErr w:type="spellStart"/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>нажимну</w:t>
            </w:r>
            <w:proofErr w:type="spellEnd"/>
            <w:r w:rsidRPr="00E7771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ручку.</w:t>
            </w:r>
          </w:p>
          <w:p w:rsidR="00791532" w:rsidRPr="00F556CF" w:rsidRDefault="00791532" w:rsidP="00152878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</w:p>
          <w:p w:rsidR="00791532" w:rsidRPr="00F556CF" w:rsidRDefault="00791532" w:rsidP="007915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Світлопрозорі вироби мають відповідати вимогам.</w:t>
            </w:r>
          </w:p>
          <w:p w:rsidR="00791532" w:rsidRPr="00F556CF" w:rsidRDefault="00791532" w:rsidP="00791532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А. Приведеному опору теплопередачі згідно таблиці 1 ДБН В.2.6-31: 2021 «Теплова ізоляція та </w:t>
            </w:r>
            <w:proofErr w:type="spellStart"/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енергоефективність</w:t>
            </w:r>
            <w:proofErr w:type="spellEnd"/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будівель»</w:t>
            </w:r>
          </w:p>
          <w:p w:rsidR="00791532" w:rsidRPr="00F556CF" w:rsidRDefault="00791532" w:rsidP="00791532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Б. ДСТУ EN 14351-1:2020 Вікна та двері. Вимоги. Частина 1. Вікна та зовнішні двері.</w:t>
            </w:r>
          </w:p>
          <w:p w:rsidR="00791532" w:rsidRPr="00F556CF" w:rsidRDefault="00791532" w:rsidP="00791532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В. Склопакети мають відповідати вимогам ДСТУ EN1279:2022 «Скло для будівництва. Склопакети».</w:t>
            </w:r>
          </w:p>
          <w:p w:rsidR="00914AE7" w:rsidRPr="00F556CF" w:rsidRDefault="00791532" w:rsidP="00791532">
            <w:pPr>
              <w:jc w:val="both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i/>
                <w:szCs w:val="28"/>
                <w:lang w:val="uk-UA"/>
              </w:rPr>
              <w:t>Г. Вибір товщини та типу скла має здійснюватися на підставі вимог ДСТУ-Н Б В.2.6-83:2009 «Настанова з проектування світлопрозорих елементів огороджувальних конструкцій».</w:t>
            </w:r>
          </w:p>
        </w:tc>
      </w:tr>
      <w:tr w:rsidR="00914AE7" w:rsidRPr="00F556CF" w:rsidTr="00DC1815">
        <w:tc>
          <w:tcPr>
            <w:tcW w:w="709" w:type="dxa"/>
            <w:vAlign w:val="center"/>
          </w:tcPr>
          <w:p w:rsidR="00914AE7" w:rsidRPr="00F556CF" w:rsidRDefault="0007273F" w:rsidP="00152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56CF">
              <w:rPr>
                <w:rFonts w:ascii="Times New Roman" w:hAnsi="Times New Roman" w:cs="Times New Roman"/>
                <w:szCs w:val="28"/>
              </w:rPr>
              <w:lastRenderedPageBreak/>
              <w:t>18</w:t>
            </w:r>
          </w:p>
          <w:p w:rsidR="00152878" w:rsidRPr="00F556CF" w:rsidRDefault="00152878" w:rsidP="0015287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14AE7" w:rsidRPr="00F556CF" w:rsidRDefault="00914AE7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Інше</w:t>
            </w:r>
          </w:p>
        </w:tc>
        <w:tc>
          <w:tcPr>
            <w:tcW w:w="6379" w:type="dxa"/>
            <w:gridSpan w:val="2"/>
          </w:tcPr>
          <w:p w:rsidR="00914AE7" w:rsidRPr="00F556CF" w:rsidRDefault="00914AE7" w:rsidP="0015287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Доповнення до даного Завдання оформляються в письмовій формі за згодою сторін.</w:t>
            </w:r>
          </w:p>
        </w:tc>
      </w:tr>
      <w:tr w:rsidR="00A95DA1" w:rsidRPr="00F556CF" w:rsidTr="001B4D3D">
        <w:tc>
          <w:tcPr>
            <w:tcW w:w="10348" w:type="dxa"/>
            <w:gridSpan w:val="4"/>
            <w:vAlign w:val="center"/>
          </w:tcPr>
          <w:p w:rsidR="00A95DA1" w:rsidRPr="00F556CF" w:rsidRDefault="00A95DA1" w:rsidP="00A95DA1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b/>
                <w:szCs w:val="28"/>
                <w:lang w:val="uk-UA"/>
              </w:rPr>
              <w:t>«ПОГОДЖЕНО»</w:t>
            </w:r>
          </w:p>
        </w:tc>
      </w:tr>
      <w:tr w:rsidR="00A95DA1" w:rsidRPr="00F556CF" w:rsidTr="00A95DA1">
        <w:tc>
          <w:tcPr>
            <w:tcW w:w="4962" w:type="dxa"/>
            <w:gridSpan w:val="3"/>
            <w:vAlign w:val="center"/>
          </w:tcPr>
          <w:p w:rsidR="00A95DA1" w:rsidRPr="00F556CF" w:rsidRDefault="00A95DA1" w:rsidP="00A95D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Керівник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проєктної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 організації:</w:t>
            </w:r>
          </w:p>
          <w:p w:rsidR="00A95DA1" w:rsidRPr="00F556CF" w:rsidRDefault="00A95DA1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95DA1" w:rsidRPr="00F556CF" w:rsidRDefault="00A95DA1" w:rsidP="0015287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95DA1" w:rsidRPr="00F556CF" w:rsidRDefault="00A95DA1" w:rsidP="00A95D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 xml:space="preserve">Головний інженер </w:t>
            </w:r>
            <w:proofErr w:type="spellStart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проєкту</w:t>
            </w:r>
            <w:proofErr w:type="spellEnd"/>
            <w:r w:rsidRPr="00F556CF">
              <w:rPr>
                <w:rFonts w:ascii="Times New Roman" w:hAnsi="Times New Roman" w:cs="Times New Roman"/>
                <w:szCs w:val="28"/>
                <w:lang w:val="uk-UA"/>
              </w:rPr>
              <w:t>:</w:t>
            </w:r>
          </w:p>
          <w:p w:rsidR="00A95DA1" w:rsidRPr="00F556CF" w:rsidRDefault="00A95DA1" w:rsidP="00A95D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A95DA1" w:rsidRPr="00F556CF" w:rsidRDefault="00A95DA1" w:rsidP="00A95DA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3A654A" w:rsidRPr="008B2345" w:rsidRDefault="003A654A">
      <w:pPr>
        <w:rPr>
          <w:lang w:val="uk-UA"/>
        </w:rPr>
      </w:pPr>
    </w:p>
    <w:sectPr w:rsidR="003A654A" w:rsidRPr="008B2345" w:rsidSect="00DC1815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654A"/>
    <w:rsid w:val="000029E4"/>
    <w:rsid w:val="000076E8"/>
    <w:rsid w:val="00010B3A"/>
    <w:rsid w:val="00011C9C"/>
    <w:rsid w:val="00012601"/>
    <w:rsid w:val="00013B46"/>
    <w:rsid w:val="00025E51"/>
    <w:rsid w:val="0003361A"/>
    <w:rsid w:val="00036909"/>
    <w:rsid w:val="000578E5"/>
    <w:rsid w:val="000628F8"/>
    <w:rsid w:val="0007273F"/>
    <w:rsid w:val="00075A73"/>
    <w:rsid w:val="000A476C"/>
    <w:rsid w:val="000C3298"/>
    <w:rsid w:val="000D21FF"/>
    <w:rsid w:val="000D70EC"/>
    <w:rsid w:val="000D7DA8"/>
    <w:rsid w:val="000E4A71"/>
    <w:rsid w:val="000F33A1"/>
    <w:rsid w:val="000F7520"/>
    <w:rsid w:val="0010755E"/>
    <w:rsid w:val="00134E19"/>
    <w:rsid w:val="00152878"/>
    <w:rsid w:val="001735D3"/>
    <w:rsid w:val="00173907"/>
    <w:rsid w:val="00192137"/>
    <w:rsid w:val="00194E8E"/>
    <w:rsid w:val="00196035"/>
    <w:rsid w:val="00197EFF"/>
    <w:rsid w:val="001A435D"/>
    <w:rsid w:val="001A46B3"/>
    <w:rsid w:val="001A59A3"/>
    <w:rsid w:val="001A69FF"/>
    <w:rsid w:val="001B06C1"/>
    <w:rsid w:val="001B2D0E"/>
    <w:rsid w:val="001B3FCB"/>
    <w:rsid w:val="001C113F"/>
    <w:rsid w:val="001C1AF0"/>
    <w:rsid w:val="001C47C3"/>
    <w:rsid w:val="001D0B9F"/>
    <w:rsid w:val="001D6193"/>
    <w:rsid w:val="001F45F1"/>
    <w:rsid w:val="00203509"/>
    <w:rsid w:val="0020640C"/>
    <w:rsid w:val="00206AFF"/>
    <w:rsid w:val="002116A9"/>
    <w:rsid w:val="002133C0"/>
    <w:rsid w:val="0021539C"/>
    <w:rsid w:val="002219F7"/>
    <w:rsid w:val="00232437"/>
    <w:rsid w:val="00253B95"/>
    <w:rsid w:val="0025607B"/>
    <w:rsid w:val="00262ED1"/>
    <w:rsid w:val="002757EB"/>
    <w:rsid w:val="00281728"/>
    <w:rsid w:val="002B164A"/>
    <w:rsid w:val="002B263A"/>
    <w:rsid w:val="002B3E79"/>
    <w:rsid w:val="002C26F2"/>
    <w:rsid w:val="002C49EC"/>
    <w:rsid w:val="002F12D5"/>
    <w:rsid w:val="002F3A79"/>
    <w:rsid w:val="00303579"/>
    <w:rsid w:val="00314BDA"/>
    <w:rsid w:val="00333898"/>
    <w:rsid w:val="00335B1F"/>
    <w:rsid w:val="00340F16"/>
    <w:rsid w:val="00344F2F"/>
    <w:rsid w:val="00353A38"/>
    <w:rsid w:val="00360576"/>
    <w:rsid w:val="00360A2B"/>
    <w:rsid w:val="00364B9E"/>
    <w:rsid w:val="0036506F"/>
    <w:rsid w:val="00377332"/>
    <w:rsid w:val="00380A60"/>
    <w:rsid w:val="00385589"/>
    <w:rsid w:val="00391317"/>
    <w:rsid w:val="00396E83"/>
    <w:rsid w:val="003A654A"/>
    <w:rsid w:val="003E4865"/>
    <w:rsid w:val="003E4D27"/>
    <w:rsid w:val="003F6F81"/>
    <w:rsid w:val="003F7EAE"/>
    <w:rsid w:val="0040266A"/>
    <w:rsid w:val="00403C1D"/>
    <w:rsid w:val="004114CA"/>
    <w:rsid w:val="0041673E"/>
    <w:rsid w:val="00417530"/>
    <w:rsid w:val="00426008"/>
    <w:rsid w:val="00426E31"/>
    <w:rsid w:val="004273E7"/>
    <w:rsid w:val="004312E5"/>
    <w:rsid w:val="004445FB"/>
    <w:rsid w:val="004448A5"/>
    <w:rsid w:val="00450F94"/>
    <w:rsid w:val="0046215B"/>
    <w:rsid w:val="004623B4"/>
    <w:rsid w:val="00465FD7"/>
    <w:rsid w:val="004768D1"/>
    <w:rsid w:val="004821F6"/>
    <w:rsid w:val="00483699"/>
    <w:rsid w:val="00484A55"/>
    <w:rsid w:val="004853F7"/>
    <w:rsid w:val="004855EA"/>
    <w:rsid w:val="00494ECF"/>
    <w:rsid w:val="00497620"/>
    <w:rsid w:val="004B02C6"/>
    <w:rsid w:val="004B0EE3"/>
    <w:rsid w:val="004B57C3"/>
    <w:rsid w:val="004C6558"/>
    <w:rsid w:val="004D1F67"/>
    <w:rsid w:val="004D59C1"/>
    <w:rsid w:val="004D5EB4"/>
    <w:rsid w:val="004E758C"/>
    <w:rsid w:val="004F057B"/>
    <w:rsid w:val="004F1C22"/>
    <w:rsid w:val="004F2168"/>
    <w:rsid w:val="00506F7E"/>
    <w:rsid w:val="00521AF8"/>
    <w:rsid w:val="0054153C"/>
    <w:rsid w:val="00545201"/>
    <w:rsid w:val="005641C5"/>
    <w:rsid w:val="0057113B"/>
    <w:rsid w:val="0057772B"/>
    <w:rsid w:val="00585A1E"/>
    <w:rsid w:val="00585F89"/>
    <w:rsid w:val="00586631"/>
    <w:rsid w:val="005A18C2"/>
    <w:rsid w:val="005A2919"/>
    <w:rsid w:val="005A694E"/>
    <w:rsid w:val="005B5545"/>
    <w:rsid w:val="005B5DD1"/>
    <w:rsid w:val="005C12E1"/>
    <w:rsid w:val="005C2967"/>
    <w:rsid w:val="005E2294"/>
    <w:rsid w:val="005E77DD"/>
    <w:rsid w:val="005F28D5"/>
    <w:rsid w:val="005F7905"/>
    <w:rsid w:val="00607C36"/>
    <w:rsid w:val="0064396A"/>
    <w:rsid w:val="00667FB0"/>
    <w:rsid w:val="00672C6A"/>
    <w:rsid w:val="00676AA3"/>
    <w:rsid w:val="0068043B"/>
    <w:rsid w:val="006A09DF"/>
    <w:rsid w:val="006B6B57"/>
    <w:rsid w:val="006F0196"/>
    <w:rsid w:val="006F3129"/>
    <w:rsid w:val="0071177C"/>
    <w:rsid w:val="007211C1"/>
    <w:rsid w:val="00725018"/>
    <w:rsid w:val="00745D28"/>
    <w:rsid w:val="00747F40"/>
    <w:rsid w:val="0075015E"/>
    <w:rsid w:val="00771674"/>
    <w:rsid w:val="00780853"/>
    <w:rsid w:val="00787EB4"/>
    <w:rsid w:val="0079045F"/>
    <w:rsid w:val="00791532"/>
    <w:rsid w:val="007B0EC5"/>
    <w:rsid w:val="007B60CF"/>
    <w:rsid w:val="007D19D5"/>
    <w:rsid w:val="007D4AC9"/>
    <w:rsid w:val="007E5B77"/>
    <w:rsid w:val="007F4FE0"/>
    <w:rsid w:val="007F5095"/>
    <w:rsid w:val="00810BAA"/>
    <w:rsid w:val="008319C4"/>
    <w:rsid w:val="0083464A"/>
    <w:rsid w:val="00834A3C"/>
    <w:rsid w:val="00851AB1"/>
    <w:rsid w:val="0085616D"/>
    <w:rsid w:val="008641A4"/>
    <w:rsid w:val="008700B5"/>
    <w:rsid w:val="00886C8B"/>
    <w:rsid w:val="008B2345"/>
    <w:rsid w:val="008B337E"/>
    <w:rsid w:val="008B72DD"/>
    <w:rsid w:val="008D1B8F"/>
    <w:rsid w:val="008E48EE"/>
    <w:rsid w:val="008E7925"/>
    <w:rsid w:val="008F5A83"/>
    <w:rsid w:val="008F6CE3"/>
    <w:rsid w:val="00901476"/>
    <w:rsid w:val="009038E1"/>
    <w:rsid w:val="0090790C"/>
    <w:rsid w:val="009132AA"/>
    <w:rsid w:val="00914AE7"/>
    <w:rsid w:val="0092084F"/>
    <w:rsid w:val="00940A89"/>
    <w:rsid w:val="00951F78"/>
    <w:rsid w:val="00963E64"/>
    <w:rsid w:val="009764E0"/>
    <w:rsid w:val="00977456"/>
    <w:rsid w:val="009A3E79"/>
    <w:rsid w:val="009B0B5C"/>
    <w:rsid w:val="009B2029"/>
    <w:rsid w:val="009B3A17"/>
    <w:rsid w:val="009C1286"/>
    <w:rsid w:val="009C7CB2"/>
    <w:rsid w:val="009E4B98"/>
    <w:rsid w:val="009F0AD8"/>
    <w:rsid w:val="009F13CA"/>
    <w:rsid w:val="009F4438"/>
    <w:rsid w:val="00A01D9B"/>
    <w:rsid w:val="00A0542B"/>
    <w:rsid w:val="00A15A7F"/>
    <w:rsid w:val="00A20F28"/>
    <w:rsid w:val="00A34EE4"/>
    <w:rsid w:val="00A42367"/>
    <w:rsid w:val="00A52C19"/>
    <w:rsid w:val="00A55F7C"/>
    <w:rsid w:val="00A61FBD"/>
    <w:rsid w:val="00A81588"/>
    <w:rsid w:val="00A870F5"/>
    <w:rsid w:val="00A95DA1"/>
    <w:rsid w:val="00AA0615"/>
    <w:rsid w:val="00AB4FEC"/>
    <w:rsid w:val="00AB78D8"/>
    <w:rsid w:val="00AC67E2"/>
    <w:rsid w:val="00AE5D51"/>
    <w:rsid w:val="00B00175"/>
    <w:rsid w:val="00B14B27"/>
    <w:rsid w:val="00B15635"/>
    <w:rsid w:val="00B26CF6"/>
    <w:rsid w:val="00B305E6"/>
    <w:rsid w:val="00B47173"/>
    <w:rsid w:val="00B52EAD"/>
    <w:rsid w:val="00B53361"/>
    <w:rsid w:val="00B672E4"/>
    <w:rsid w:val="00B73305"/>
    <w:rsid w:val="00B95328"/>
    <w:rsid w:val="00B95714"/>
    <w:rsid w:val="00BA1B5B"/>
    <w:rsid w:val="00BA4DD3"/>
    <w:rsid w:val="00BE047A"/>
    <w:rsid w:val="00C205AA"/>
    <w:rsid w:val="00C2345F"/>
    <w:rsid w:val="00C27337"/>
    <w:rsid w:val="00C316DF"/>
    <w:rsid w:val="00C3347E"/>
    <w:rsid w:val="00C35760"/>
    <w:rsid w:val="00C56C55"/>
    <w:rsid w:val="00C57BAB"/>
    <w:rsid w:val="00C6599B"/>
    <w:rsid w:val="00C84491"/>
    <w:rsid w:val="00C87D2E"/>
    <w:rsid w:val="00C96F87"/>
    <w:rsid w:val="00CA7B11"/>
    <w:rsid w:val="00CB4056"/>
    <w:rsid w:val="00CC3F6B"/>
    <w:rsid w:val="00CC7191"/>
    <w:rsid w:val="00CE6B1B"/>
    <w:rsid w:val="00CE7E29"/>
    <w:rsid w:val="00CF5C55"/>
    <w:rsid w:val="00D027A5"/>
    <w:rsid w:val="00D02DE0"/>
    <w:rsid w:val="00D16646"/>
    <w:rsid w:val="00D24D90"/>
    <w:rsid w:val="00D27BD0"/>
    <w:rsid w:val="00D412DC"/>
    <w:rsid w:val="00D67AFB"/>
    <w:rsid w:val="00D85151"/>
    <w:rsid w:val="00D86050"/>
    <w:rsid w:val="00D8643E"/>
    <w:rsid w:val="00DA1D1C"/>
    <w:rsid w:val="00DC1815"/>
    <w:rsid w:val="00DC503C"/>
    <w:rsid w:val="00DC6F2D"/>
    <w:rsid w:val="00DD1197"/>
    <w:rsid w:val="00DD2749"/>
    <w:rsid w:val="00DF3B33"/>
    <w:rsid w:val="00E05E18"/>
    <w:rsid w:val="00E15E21"/>
    <w:rsid w:val="00E223EB"/>
    <w:rsid w:val="00E2588D"/>
    <w:rsid w:val="00E359EB"/>
    <w:rsid w:val="00E4443B"/>
    <w:rsid w:val="00E57265"/>
    <w:rsid w:val="00E5771F"/>
    <w:rsid w:val="00E60B1C"/>
    <w:rsid w:val="00E7184C"/>
    <w:rsid w:val="00E75742"/>
    <w:rsid w:val="00E77716"/>
    <w:rsid w:val="00E8719F"/>
    <w:rsid w:val="00E9135A"/>
    <w:rsid w:val="00E955C3"/>
    <w:rsid w:val="00EB53FE"/>
    <w:rsid w:val="00EB6663"/>
    <w:rsid w:val="00EC02C0"/>
    <w:rsid w:val="00EC217C"/>
    <w:rsid w:val="00EC5E4A"/>
    <w:rsid w:val="00ED03BF"/>
    <w:rsid w:val="00ED3A94"/>
    <w:rsid w:val="00EE2549"/>
    <w:rsid w:val="00EE2FFF"/>
    <w:rsid w:val="00EF580B"/>
    <w:rsid w:val="00F32ECC"/>
    <w:rsid w:val="00F376A4"/>
    <w:rsid w:val="00F4125E"/>
    <w:rsid w:val="00F556CF"/>
    <w:rsid w:val="00F55762"/>
    <w:rsid w:val="00F66F49"/>
    <w:rsid w:val="00F72C72"/>
    <w:rsid w:val="00F76A9D"/>
    <w:rsid w:val="00F847FA"/>
    <w:rsid w:val="00F9023E"/>
    <w:rsid w:val="00FA4B64"/>
    <w:rsid w:val="00FA6A69"/>
    <w:rsid w:val="00FD128B"/>
    <w:rsid w:val="00FD5499"/>
    <w:rsid w:val="00FD6F5D"/>
    <w:rsid w:val="00FD7AEA"/>
    <w:rsid w:val="00FE77DE"/>
    <w:rsid w:val="00FF20BD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A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B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3A79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A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B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3A79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F261-1DD1-4AF6-9710-89345B9E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2023-05-30T08:43:00Z</cp:lastPrinted>
  <dcterms:created xsi:type="dcterms:W3CDTF">2023-03-03T11:49:00Z</dcterms:created>
  <dcterms:modified xsi:type="dcterms:W3CDTF">2023-05-30T12:40:00Z</dcterms:modified>
</cp:coreProperties>
</file>