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b w:val="1"/>
          <w:color w:val="000000"/>
        </w:rPr>
      </w:pPr>
      <w:r w:rsidDel="00000000" w:rsidR="00000000" w:rsidRPr="00000000">
        <w:rPr>
          <w:b w:val="1"/>
          <w:color w:val="000000"/>
          <w:rtl w:val="0"/>
        </w:rPr>
        <w:t xml:space="preserve">                                                                                              Додаток 2 </w:t>
      </w:r>
    </w:p>
    <w:p w:rsidR="00000000" w:rsidDel="00000000" w:rsidP="00000000" w:rsidRDefault="00000000" w:rsidRPr="00000000" w14:paraId="00000002">
      <w:pPr>
        <w:widowControl w:val="0"/>
        <w:spacing w:after="0" w:line="240" w:lineRule="auto"/>
        <w:jc w:val="right"/>
        <w:rPr>
          <w:b w:val="1"/>
          <w:color w:val="000000"/>
        </w:rPr>
      </w:pPr>
      <w:r w:rsidDel="00000000" w:rsidR="00000000" w:rsidRPr="00000000">
        <w:rPr>
          <w:b w:val="1"/>
          <w:color w:val="000000"/>
          <w:rtl w:val="0"/>
        </w:rPr>
        <w:t xml:space="preserve">до тендерної документації</w:t>
      </w:r>
    </w:p>
    <w:p w:rsidR="00000000" w:rsidDel="00000000" w:rsidP="00000000" w:rsidRDefault="00000000" w:rsidRPr="00000000" w14:paraId="00000003">
      <w:pPr>
        <w:widowControl w:val="0"/>
        <w:spacing w:after="0" w:line="240" w:lineRule="auto"/>
        <w:jc w:val="right"/>
        <w:rPr>
          <w:b w:val="1"/>
          <w:color w:val="000000"/>
        </w:rPr>
      </w:pPr>
      <w:r w:rsidDel="00000000" w:rsidR="00000000" w:rsidRPr="00000000">
        <w:rPr>
          <w:rtl w:val="0"/>
        </w:rPr>
      </w:r>
    </w:p>
    <w:p w:rsidR="00000000" w:rsidDel="00000000" w:rsidP="00000000" w:rsidRDefault="00000000" w:rsidRPr="00000000" w14:paraId="00000004">
      <w:pPr>
        <w:widowControl w:val="0"/>
        <w:spacing w:after="0" w:line="240" w:lineRule="auto"/>
        <w:jc w:val="center"/>
        <w:rPr>
          <w:b w:val="1"/>
          <w:color w:val="000000"/>
        </w:rPr>
      </w:pPr>
      <w:r w:rsidDel="00000000" w:rsidR="00000000" w:rsidRPr="00000000">
        <w:rPr>
          <w:b w:val="1"/>
          <w:color w:val="000000"/>
          <w:rtl w:val="0"/>
        </w:rPr>
        <w:t xml:space="preserve">Кваліфікаційні критерії до учасника відповідно до статті 16 Закону </w:t>
      </w:r>
    </w:p>
    <w:p w:rsidR="00000000" w:rsidDel="00000000" w:rsidP="00000000" w:rsidRDefault="00000000" w:rsidRPr="00000000" w14:paraId="00000005">
      <w:pPr>
        <w:widowControl w:val="0"/>
        <w:spacing w:after="0" w:line="240" w:lineRule="auto"/>
        <w:jc w:val="center"/>
        <w:rPr>
          <w:b w:val="1"/>
          <w:color w:val="000000"/>
        </w:rPr>
      </w:pPr>
      <w:r w:rsidDel="00000000" w:rsidR="00000000" w:rsidRPr="00000000">
        <w:rPr>
          <w:b w:val="1"/>
          <w:color w:val="000000"/>
          <w:rtl w:val="0"/>
        </w:rPr>
        <w:t xml:space="preserve">та спосіб їх документального підтвердження.</w:t>
      </w:r>
    </w:p>
    <w:p w:rsidR="00000000" w:rsidDel="00000000" w:rsidP="00000000" w:rsidRDefault="00000000" w:rsidRPr="00000000" w14:paraId="00000006">
      <w:pPr>
        <w:widowControl w:val="0"/>
        <w:spacing w:after="0" w:line="240" w:lineRule="auto"/>
        <w:jc w:val="center"/>
        <w:rPr>
          <w:b w:val="1"/>
          <w:color w:val="000000"/>
        </w:rPr>
      </w:pPr>
      <w:r w:rsidDel="00000000" w:rsidR="00000000" w:rsidRPr="00000000">
        <w:rPr>
          <w:rtl w:val="0"/>
        </w:rPr>
      </w:r>
    </w:p>
    <w:tbl>
      <w:tblPr>
        <w:tblStyle w:val="Table1"/>
        <w:tblW w:w="10232.0" w:type="dxa"/>
        <w:jc w:val="left"/>
        <w:tblInd w:w="214.0" w:type="dxa"/>
        <w:tblBorders>
          <w:top w:color="000001" w:space="0" w:sz="4" w:val="single"/>
          <w:left w:color="000001" w:space="0" w:sz="4" w:val="single"/>
          <w:bottom w:color="000001" w:space="0" w:sz="4" w:val="single"/>
          <w:insideH w:color="000001" w:space="0" w:sz="4" w:val="single"/>
        </w:tblBorders>
        <w:tblLayout w:type="fixed"/>
        <w:tblLook w:val="0000"/>
      </w:tblPr>
      <w:tblGrid>
        <w:gridCol w:w="3892"/>
        <w:gridCol w:w="6340"/>
        <w:tblGridChange w:id="0">
          <w:tblGrid>
            <w:gridCol w:w="3892"/>
            <w:gridCol w:w="6340"/>
          </w:tblGrid>
        </w:tblGridChange>
      </w:tblGrid>
      <w:tr>
        <w:trPr>
          <w:cantSplit w:val="0"/>
          <w:tblHeader w:val="0"/>
        </w:trPr>
        <w:tc>
          <w:tcPr>
            <w:tcBorders>
              <w:top w:color="000001" w:space="0" w:sz="4" w:val="single"/>
              <w:left w:color="000001" w:space="0" w:sz="4" w:val="single"/>
              <w:bottom w:color="000001" w:space="0" w:sz="4" w:val="single"/>
            </w:tcBorders>
            <w:shd w:fill="auto" w:val="clear"/>
            <w:tcMar>
              <w:left w:w="98.0" w:type="dxa"/>
            </w:tcMar>
            <w:vAlign w:val="center"/>
          </w:tcPr>
          <w:p w:rsidR="00000000" w:rsidDel="00000000" w:rsidP="00000000" w:rsidRDefault="00000000" w:rsidRPr="00000000" w14:paraId="0000000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center"/>
              <w:rPr>
                <w:color w:val="000000"/>
              </w:rPr>
            </w:pPr>
            <w:r w:rsidDel="00000000" w:rsidR="00000000" w:rsidRPr="00000000">
              <w:rPr>
                <w:b w:val="1"/>
                <w:color w:val="000000"/>
                <w:rtl w:val="0"/>
              </w:rPr>
              <w:t xml:space="preserve">Кваліфікаційні критерії, встановлені відповідно до </w:t>
            </w:r>
            <w:r w:rsidDel="00000000" w:rsidR="00000000" w:rsidRPr="00000000">
              <w:rPr>
                <w:rtl w:val="0"/>
              </w:rPr>
            </w:r>
          </w:p>
          <w:p w:rsidR="00000000" w:rsidDel="00000000" w:rsidP="00000000" w:rsidRDefault="00000000" w:rsidRPr="00000000" w14:paraId="0000000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center"/>
              <w:rPr>
                <w:color w:val="000000"/>
              </w:rPr>
            </w:pPr>
            <w:r w:rsidDel="00000000" w:rsidR="00000000" w:rsidRPr="00000000">
              <w:rPr>
                <w:b w:val="1"/>
                <w:color w:val="000000"/>
                <w:rtl w:val="0"/>
              </w:rPr>
              <w:t xml:space="preserve">ст. 16 Закону з урахуванням Особливостей від 12 жовтня 2022 р. № 1178, пункт 29.</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vAlign w:val="center"/>
          </w:tcPr>
          <w:p w:rsidR="00000000" w:rsidDel="00000000" w:rsidP="00000000" w:rsidRDefault="00000000" w:rsidRPr="00000000" w14:paraId="00000009">
            <w:pPr>
              <w:spacing w:after="0" w:line="240" w:lineRule="auto"/>
              <w:jc w:val="center"/>
              <w:rPr>
                <w:b w:val="1"/>
                <w:color w:val="000000"/>
              </w:rPr>
            </w:pPr>
            <w:r w:rsidDel="00000000" w:rsidR="00000000" w:rsidRPr="00000000">
              <w:rPr>
                <w:b w:val="1"/>
                <w:color w:val="000000"/>
                <w:rtl w:val="0"/>
              </w:rPr>
              <w:t xml:space="preserve">Документи, які підтверджують відповідність Учасника встановленим кваліфікаційним критеріям</w:t>
            </w:r>
          </w:p>
        </w:tc>
      </w:tr>
      <w:tr>
        <w:trPr>
          <w:cantSplit w:val="0"/>
          <w:trHeight w:val="556"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0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color w:val="000000"/>
              </w:rPr>
            </w:pPr>
            <w:r w:rsidDel="00000000" w:rsidR="00000000" w:rsidRPr="00000000">
              <w:rPr>
                <w:color w:val="000000"/>
                <w:rtl w:val="0"/>
              </w:rPr>
              <w:t xml:space="preserve">1. Наявність документально підтвердженого досвіду виконання аналогічного договору.</w:t>
            </w:r>
          </w:p>
          <w:p w:rsidR="00000000" w:rsidDel="00000000" w:rsidP="00000000" w:rsidRDefault="00000000" w:rsidRPr="00000000" w14:paraId="0000000B">
            <w:pPr>
              <w:spacing w:before="280" w:line="240" w:lineRule="auto"/>
              <w:rPr>
                <w:color w:val="00000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0C">
            <w:pPr>
              <w:spacing w:after="0" w:line="240" w:lineRule="auto"/>
              <w:jc w:val="both"/>
              <w:rPr>
                <w:color w:val="000000"/>
              </w:rPr>
            </w:pPr>
            <w:r w:rsidDel="00000000" w:rsidR="00000000" w:rsidRPr="00000000">
              <w:rPr>
                <w:color w:val="000000"/>
                <w:rtl w:val="0"/>
              </w:rPr>
              <w:t xml:space="preserve">     Відомості про виконання аналогічного(их) договору(ів) щодо предмету закупівлі, які повинні підтверджувати те, що учасник має досвід виконання аналогічного(их) договору(ів). </w:t>
            </w:r>
          </w:p>
          <w:p w:rsidR="00000000" w:rsidDel="00000000" w:rsidP="00000000" w:rsidRDefault="00000000" w:rsidRPr="00000000" w14:paraId="0000000D">
            <w:pPr>
              <w:spacing w:after="0" w:line="240" w:lineRule="auto"/>
              <w:jc w:val="both"/>
              <w:rPr>
                <w:color w:val="000000"/>
              </w:rPr>
            </w:pPr>
            <w:r w:rsidDel="00000000" w:rsidR="00000000" w:rsidRPr="00000000">
              <w:rPr>
                <w:color w:val="000000"/>
                <w:rtl w:val="0"/>
              </w:rPr>
              <w:t xml:space="preserve">    Аналогічними договорами відповідно до умов цієї тендерної документації є договори на постачання аналогічного предмету закупівлі </w:t>
            </w:r>
          </w:p>
          <w:p w:rsidR="00000000" w:rsidDel="00000000" w:rsidP="00000000" w:rsidRDefault="00000000" w:rsidRPr="00000000" w14:paraId="0000000E">
            <w:pPr>
              <w:spacing w:after="0" w:line="240" w:lineRule="auto"/>
              <w:jc w:val="both"/>
              <w:rPr>
                <w:color w:val="000000"/>
              </w:rPr>
            </w:pPr>
            <w:r w:rsidDel="00000000" w:rsidR="00000000" w:rsidRPr="00000000">
              <w:rPr>
                <w:color w:val="000000"/>
                <w:rtl w:val="0"/>
              </w:rPr>
              <w:t xml:space="preserve">    Для підтвердження виконання аналогічних договорів учасник у складі тендерної пропозиції повинен надати по договору (або договорам), вказаним  ним копію (або копії) договору (або договорів) та копію (або копії) акту (актів) прийомки передачі/копії інших документів, що підтверджують факти передачі/поставки аналогічного предмету закупівлі та виконання договору в повному обсязі або оригінали відгуків про виконання учасником аналогічних договорів від замовників. Відгук повинен містити інформацію про реквізити договору (номер, дата), назву предмету закупівлі (договору), його кількість та інформацію про виконання договору в повному обсязі.</w:t>
            </w:r>
          </w:p>
        </w:tc>
      </w:tr>
      <w:tr>
        <w:trPr>
          <w:cantSplit w:val="0"/>
          <w:trHeight w:val="1406"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0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color w:val="000000"/>
              </w:rPr>
            </w:pPr>
            <w:bookmarkStart w:colFirst="0" w:colLast="0" w:name="_heading=h.gjdgxs" w:id="0"/>
            <w:bookmarkEnd w:id="0"/>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10">
            <w:pPr>
              <w:spacing w:after="0" w:line="240" w:lineRule="auto"/>
              <w:jc w:val="both"/>
              <w:rPr>
                <w:color w:val="000000"/>
              </w:rPr>
            </w:pPr>
            <w:r w:rsidDel="00000000" w:rsidR="00000000" w:rsidRPr="00000000">
              <w:rPr>
                <w:rtl w:val="0"/>
              </w:rPr>
            </w:r>
          </w:p>
        </w:tc>
      </w:tr>
    </w:tbl>
    <w:p w:rsidR="00000000" w:rsidDel="00000000" w:rsidP="00000000" w:rsidRDefault="00000000" w:rsidRPr="00000000" w14:paraId="00000011">
      <w:pPr>
        <w:spacing w:after="0" w:line="240" w:lineRule="auto"/>
        <w:rPr>
          <w:color w:val="000000"/>
        </w:rPr>
      </w:pPr>
      <w:r w:rsidDel="00000000" w:rsidR="00000000" w:rsidRPr="00000000">
        <w:rPr>
          <w:rtl w:val="0"/>
        </w:rPr>
      </w:r>
    </w:p>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Примітка.</w:t>
      </w:r>
    </w:p>
    <w:p w:rsidR="00000000" w:rsidDel="00000000" w:rsidP="00000000" w:rsidRDefault="00000000" w:rsidRPr="00000000" w14:paraId="00000013">
      <w:pPr>
        <w:spacing w:after="0" w:line="240" w:lineRule="auto"/>
        <w:jc w:val="both"/>
        <w:rPr>
          <w:color w:val="000000"/>
          <w:highlight w:val="white"/>
        </w:rPr>
      </w:pPr>
      <w:r w:rsidDel="00000000" w:rsidR="00000000" w:rsidRPr="00000000">
        <w:rPr>
          <w:color w:val="000000"/>
          <w:highlight w:val="white"/>
          <w:rtl w:val="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000000" w:rsidDel="00000000" w:rsidP="00000000" w:rsidRDefault="00000000" w:rsidRPr="00000000" w14:paraId="00000014">
      <w:pPr>
        <w:spacing w:after="0" w:line="240" w:lineRule="auto"/>
        <w:jc w:val="both"/>
        <w:rPr>
          <w:highlight w:val="white"/>
        </w:rPr>
      </w:pPr>
      <w:r w:rsidDel="00000000" w:rsidR="00000000" w:rsidRPr="00000000">
        <w:rPr>
          <w:rtl w:val="0"/>
        </w:rPr>
      </w:r>
    </w:p>
    <w:p w:rsidR="00000000" w:rsidDel="00000000" w:rsidP="00000000" w:rsidRDefault="00000000" w:rsidRPr="00000000" w14:paraId="00000015">
      <w:pPr>
        <w:spacing w:after="0" w:line="240" w:lineRule="auto"/>
        <w:jc w:val="both"/>
        <w:rPr>
          <w:highlight w:val="white"/>
        </w:rPr>
      </w:pPr>
      <w:r w:rsidDel="00000000" w:rsidR="00000000" w:rsidRPr="00000000">
        <w:rPr>
          <w:rtl w:val="0"/>
        </w:rPr>
      </w:r>
    </w:p>
    <w:p w:rsidR="00000000" w:rsidDel="00000000" w:rsidP="00000000" w:rsidRDefault="00000000" w:rsidRPr="00000000" w14:paraId="00000016">
      <w:pPr>
        <w:spacing w:after="0" w:line="240" w:lineRule="auto"/>
        <w:jc w:val="both"/>
        <w:rPr>
          <w:highlight w:val="white"/>
        </w:rPr>
      </w:pPr>
      <w:r w:rsidDel="00000000" w:rsidR="00000000" w:rsidRPr="00000000">
        <w:rPr>
          <w:rtl w:val="0"/>
        </w:rPr>
      </w:r>
    </w:p>
    <w:p w:rsidR="00000000" w:rsidDel="00000000" w:rsidP="00000000" w:rsidRDefault="00000000" w:rsidRPr="00000000" w14:paraId="00000017">
      <w:pPr>
        <w:spacing w:after="0" w:line="240" w:lineRule="auto"/>
        <w:jc w:val="both"/>
        <w:rPr>
          <w:b w:val="1"/>
          <w:color w:val="980000"/>
          <w:highlight w:val="white"/>
        </w:rPr>
      </w:pPr>
      <w:r w:rsidDel="00000000" w:rsidR="00000000" w:rsidRPr="00000000">
        <w:rPr>
          <w:rtl w:val="0"/>
        </w:rPr>
      </w:r>
    </w:p>
    <w:p w:rsidR="00000000" w:rsidDel="00000000" w:rsidP="00000000" w:rsidRDefault="00000000" w:rsidRPr="00000000" w14:paraId="00000018">
      <w:pPr>
        <w:spacing w:after="0" w:line="240" w:lineRule="auto"/>
        <w:jc w:val="both"/>
        <w:rPr>
          <w:b w:val="1"/>
          <w:color w:val="980000"/>
          <w:highlight w:val="white"/>
        </w:rPr>
      </w:pPr>
      <w:r w:rsidDel="00000000" w:rsidR="00000000" w:rsidRPr="00000000">
        <w:rPr>
          <w:rtl w:val="0"/>
        </w:rPr>
      </w:r>
    </w:p>
    <w:p w:rsidR="00000000" w:rsidDel="00000000" w:rsidP="00000000" w:rsidRDefault="00000000" w:rsidRPr="00000000" w14:paraId="00000019">
      <w:pPr>
        <w:spacing w:after="0" w:line="240" w:lineRule="auto"/>
        <w:jc w:val="both"/>
        <w:rPr>
          <w:b w:val="1"/>
          <w:color w:val="980000"/>
          <w:highlight w:val="white"/>
        </w:rPr>
      </w:pPr>
      <w:r w:rsidDel="00000000" w:rsidR="00000000" w:rsidRPr="00000000">
        <w:rPr>
          <w:rtl w:val="0"/>
        </w:rPr>
      </w:r>
    </w:p>
    <w:p w:rsidR="00000000" w:rsidDel="00000000" w:rsidP="00000000" w:rsidRDefault="00000000" w:rsidRPr="00000000" w14:paraId="0000001A">
      <w:pPr>
        <w:spacing w:after="0" w:line="240" w:lineRule="auto"/>
        <w:jc w:val="both"/>
        <w:rPr>
          <w:highlight w:val="white"/>
        </w:rPr>
      </w:pPr>
      <w:r w:rsidDel="00000000" w:rsidR="00000000" w:rsidRPr="00000000">
        <w:rPr>
          <w:rtl w:val="0"/>
        </w:rPr>
      </w:r>
    </w:p>
    <w:p w:rsidR="00000000" w:rsidDel="00000000" w:rsidP="00000000" w:rsidRDefault="00000000" w:rsidRPr="00000000" w14:paraId="0000001B">
      <w:pPr>
        <w:spacing w:after="0" w:line="240" w:lineRule="auto"/>
        <w:jc w:val="both"/>
        <w:rPr>
          <w:highlight w:val="white"/>
        </w:rPr>
      </w:pPr>
      <w:r w:rsidDel="00000000" w:rsidR="00000000" w:rsidRPr="00000000">
        <w:rPr>
          <w:rtl w:val="0"/>
        </w:rPr>
      </w:r>
    </w:p>
    <w:sectPr>
      <w:pgSz w:h="16838" w:w="11906" w:orient="portrait"/>
      <w:pgMar w:bottom="567" w:top="851" w:left="1134"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jR0FsqnZIrgIERuC7j/WKTFaJw==">CgMxLjAyCGguZ2pkZ3hzOAByITE2YUNMbDFwY01Ld1dRR2Nkc1FHMEZTMmVuZmxEaEdQVg==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2023-06-26T07:02:00Z</dcterms:created>
  <dc:creator>7</dc:creator>
</cp:coreProperties>
</file>