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96" w:rsidRPr="00253877" w:rsidRDefault="00680296" w:rsidP="00680296">
      <w:pPr>
        <w:jc w:val="right"/>
        <w:rPr>
          <w:b/>
        </w:rPr>
      </w:pPr>
      <w:bookmarkStart w:id="0" w:name="_GoBack"/>
      <w:r w:rsidRPr="00253877">
        <w:rPr>
          <w:b/>
        </w:rPr>
        <w:t>Додаток №1</w:t>
      </w:r>
    </w:p>
    <w:p w:rsidR="00680296" w:rsidRPr="00253877" w:rsidRDefault="00680296" w:rsidP="00680296">
      <w:pPr>
        <w:jc w:val="right"/>
        <w:rPr>
          <w:b/>
        </w:rPr>
      </w:pPr>
      <w:r w:rsidRPr="00253877">
        <w:rPr>
          <w:b/>
        </w:rPr>
        <w:t>до протоколу №</w:t>
      </w:r>
      <w:r w:rsidR="00253877" w:rsidRPr="00253877">
        <w:rPr>
          <w:b/>
        </w:rPr>
        <w:t>55</w:t>
      </w:r>
      <w:r w:rsidRPr="00253877">
        <w:rPr>
          <w:b/>
        </w:rPr>
        <w:t xml:space="preserve"> від «</w:t>
      </w:r>
      <w:r w:rsidR="006A6739" w:rsidRPr="00253877">
        <w:rPr>
          <w:b/>
        </w:rPr>
        <w:t>06</w:t>
      </w:r>
      <w:r w:rsidRPr="00253877">
        <w:rPr>
          <w:b/>
        </w:rPr>
        <w:t>»</w:t>
      </w:r>
      <w:r w:rsidR="00306EA6" w:rsidRPr="00253877">
        <w:rPr>
          <w:b/>
        </w:rPr>
        <w:t xml:space="preserve"> </w:t>
      </w:r>
      <w:r w:rsidR="006A6739" w:rsidRPr="00253877">
        <w:rPr>
          <w:b/>
        </w:rPr>
        <w:t>червня</w:t>
      </w:r>
      <w:r w:rsidRPr="00253877">
        <w:rPr>
          <w:b/>
        </w:rPr>
        <w:t xml:space="preserve"> 202</w:t>
      </w:r>
      <w:r w:rsidR="00906FF7" w:rsidRPr="00253877">
        <w:rPr>
          <w:b/>
        </w:rPr>
        <w:t>3</w:t>
      </w:r>
      <w:r w:rsidRPr="00253877">
        <w:rPr>
          <w:b/>
        </w:rPr>
        <w:t>р.</w:t>
      </w:r>
    </w:p>
    <w:p w:rsidR="008D3271" w:rsidRPr="00253877" w:rsidRDefault="008D3271" w:rsidP="008D3271">
      <w:pPr>
        <w:jc w:val="center"/>
        <w:rPr>
          <w:b/>
        </w:rPr>
      </w:pPr>
      <w:r w:rsidRPr="00253877">
        <w:rPr>
          <w:b/>
        </w:rPr>
        <w:t>Зміни</w:t>
      </w:r>
      <w:r w:rsidR="0035570C" w:rsidRPr="00253877">
        <w:rPr>
          <w:b/>
        </w:rPr>
        <w:t xml:space="preserve">, </w:t>
      </w:r>
      <w:r w:rsidRPr="00253877">
        <w:rPr>
          <w:b/>
        </w:rPr>
        <w:t>внесені до тендерної документації</w:t>
      </w:r>
    </w:p>
    <w:p w:rsidR="00F749BE" w:rsidRPr="00253877" w:rsidRDefault="008D3271" w:rsidP="00680296">
      <w:pPr>
        <w:jc w:val="center"/>
        <w:rPr>
          <w:b/>
        </w:rPr>
      </w:pPr>
      <w:r w:rsidRPr="00253877">
        <w:rPr>
          <w:b/>
        </w:rPr>
        <w:t xml:space="preserve">щодо закупівлі </w:t>
      </w:r>
    </w:p>
    <w:p w:rsidR="00306EA6" w:rsidRPr="00253877" w:rsidRDefault="006A6739" w:rsidP="00680296">
      <w:pPr>
        <w:jc w:val="center"/>
        <w:rPr>
          <w:b/>
          <w:bCs/>
        </w:rPr>
      </w:pPr>
      <w:r w:rsidRPr="00253877">
        <w:rPr>
          <w:b/>
          <w:bCs/>
        </w:rPr>
        <w:t>«код ДК 021:2015 09110000-3 - Тверде паливо» (Вугілля кам’яне марки Г (Г2) 13-100, Вугілля кам’яне марки П 6-100, Гранули паливні з відходів деревини (пелети))»</w:t>
      </w:r>
    </w:p>
    <w:p w:rsidR="006A6739" w:rsidRPr="00253877" w:rsidRDefault="006A6739" w:rsidP="00680296">
      <w:pPr>
        <w:jc w:val="center"/>
        <w:rPr>
          <w:b/>
        </w:rPr>
      </w:pPr>
    </w:p>
    <w:tbl>
      <w:tblPr>
        <w:tblW w:w="151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467"/>
        <w:gridCol w:w="6520"/>
        <w:gridCol w:w="6663"/>
      </w:tblGrid>
      <w:tr w:rsidR="00253877" w:rsidRPr="00253877" w:rsidTr="00C7038E">
        <w:trPr>
          <w:trHeight w:val="480"/>
        </w:trPr>
        <w:tc>
          <w:tcPr>
            <w:tcW w:w="518" w:type="dxa"/>
            <w:vAlign w:val="center"/>
          </w:tcPr>
          <w:p w:rsidR="00680296" w:rsidRPr="00253877" w:rsidRDefault="00680296" w:rsidP="0051042C">
            <w:pPr>
              <w:jc w:val="center"/>
              <w:rPr>
                <w:b/>
              </w:rPr>
            </w:pPr>
            <w:r w:rsidRPr="00253877">
              <w:rPr>
                <w:b/>
              </w:rPr>
              <w:t>№</w:t>
            </w:r>
          </w:p>
          <w:p w:rsidR="00680296" w:rsidRPr="00253877" w:rsidRDefault="00680296" w:rsidP="0051042C">
            <w:pPr>
              <w:jc w:val="center"/>
              <w:rPr>
                <w:b/>
              </w:rPr>
            </w:pPr>
            <w:r w:rsidRPr="00253877">
              <w:rPr>
                <w:b/>
              </w:rPr>
              <w:t>з/п</w:t>
            </w:r>
          </w:p>
        </w:tc>
        <w:tc>
          <w:tcPr>
            <w:tcW w:w="1467" w:type="dxa"/>
            <w:vAlign w:val="center"/>
          </w:tcPr>
          <w:p w:rsidR="00680296" w:rsidRPr="00253877" w:rsidRDefault="00680296" w:rsidP="0051042C">
            <w:pPr>
              <w:jc w:val="center"/>
              <w:rPr>
                <w:b/>
              </w:rPr>
            </w:pPr>
            <w:r w:rsidRPr="00253877">
              <w:rPr>
                <w:b/>
              </w:rPr>
              <w:t>Пункт ТД</w:t>
            </w:r>
          </w:p>
        </w:tc>
        <w:tc>
          <w:tcPr>
            <w:tcW w:w="6520" w:type="dxa"/>
            <w:vAlign w:val="center"/>
          </w:tcPr>
          <w:p w:rsidR="00680296" w:rsidRPr="00253877" w:rsidRDefault="00227CD0" w:rsidP="006A6739">
            <w:pPr>
              <w:jc w:val="center"/>
              <w:rPr>
                <w:b/>
              </w:rPr>
            </w:pPr>
            <w:r w:rsidRPr="00253877">
              <w:rPr>
                <w:b/>
              </w:rPr>
              <w:t>Р</w:t>
            </w:r>
            <w:r w:rsidR="00680296" w:rsidRPr="00253877">
              <w:rPr>
                <w:b/>
              </w:rPr>
              <w:t xml:space="preserve">едакція від </w:t>
            </w:r>
            <w:r w:rsidR="006A6739" w:rsidRPr="00253877">
              <w:rPr>
                <w:b/>
              </w:rPr>
              <w:t>15</w:t>
            </w:r>
            <w:r w:rsidR="00680296" w:rsidRPr="00253877">
              <w:rPr>
                <w:b/>
              </w:rPr>
              <w:t>.</w:t>
            </w:r>
            <w:r w:rsidR="00306EA6" w:rsidRPr="00253877">
              <w:rPr>
                <w:b/>
              </w:rPr>
              <w:t>05</w:t>
            </w:r>
            <w:r w:rsidR="00680296" w:rsidRPr="00253877">
              <w:rPr>
                <w:b/>
              </w:rPr>
              <w:t>.202</w:t>
            </w:r>
            <w:r w:rsidR="00906FF7" w:rsidRPr="00253877">
              <w:rPr>
                <w:b/>
              </w:rPr>
              <w:t>3</w:t>
            </w:r>
            <w:r w:rsidR="00930C61" w:rsidRPr="00253877">
              <w:rPr>
                <w:b/>
              </w:rPr>
              <w:t>р.</w:t>
            </w:r>
          </w:p>
        </w:tc>
        <w:tc>
          <w:tcPr>
            <w:tcW w:w="6663" w:type="dxa"/>
            <w:vAlign w:val="center"/>
          </w:tcPr>
          <w:p w:rsidR="00680296" w:rsidRPr="00253877" w:rsidRDefault="00680296" w:rsidP="006A6739">
            <w:pPr>
              <w:jc w:val="center"/>
              <w:rPr>
                <w:b/>
              </w:rPr>
            </w:pPr>
            <w:r w:rsidRPr="00253877">
              <w:rPr>
                <w:b/>
              </w:rPr>
              <w:t>Зміни від</w:t>
            </w:r>
            <w:r w:rsidR="00227CD0" w:rsidRPr="00253877">
              <w:rPr>
                <w:b/>
              </w:rPr>
              <w:t xml:space="preserve"> </w:t>
            </w:r>
            <w:r w:rsidR="006A6739" w:rsidRPr="00253877">
              <w:rPr>
                <w:b/>
              </w:rPr>
              <w:t>06</w:t>
            </w:r>
            <w:r w:rsidRPr="00253877">
              <w:rPr>
                <w:b/>
              </w:rPr>
              <w:t>.</w:t>
            </w:r>
            <w:r w:rsidR="006A6739" w:rsidRPr="00253877">
              <w:rPr>
                <w:b/>
              </w:rPr>
              <w:t>06</w:t>
            </w:r>
            <w:r w:rsidRPr="00253877">
              <w:rPr>
                <w:b/>
              </w:rPr>
              <w:t>.202</w:t>
            </w:r>
            <w:r w:rsidR="00906FF7" w:rsidRPr="00253877">
              <w:rPr>
                <w:b/>
              </w:rPr>
              <w:t>3 р.</w:t>
            </w:r>
          </w:p>
        </w:tc>
      </w:tr>
      <w:tr w:rsidR="00253877" w:rsidRPr="00253877" w:rsidTr="00C7038E">
        <w:trPr>
          <w:trHeight w:val="1327"/>
        </w:trPr>
        <w:tc>
          <w:tcPr>
            <w:tcW w:w="518" w:type="dxa"/>
            <w:vAlign w:val="center"/>
          </w:tcPr>
          <w:p w:rsidR="00680296" w:rsidRPr="00253877" w:rsidRDefault="00680296" w:rsidP="0051042C">
            <w:pPr>
              <w:jc w:val="center"/>
              <w:rPr>
                <w:b/>
              </w:rPr>
            </w:pPr>
            <w:r w:rsidRPr="00253877">
              <w:rPr>
                <w:b/>
              </w:rPr>
              <w:t>1</w:t>
            </w:r>
          </w:p>
        </w:tc>
        <w:tc>
          <w:tcPr>
            <w:tcW w:w="1467" w:type="dxa"/>
            <w:vAlign w:val="center"/>
          </w:tcPr>
          <w:p w:rsidR="00680296" w:rsidRPr="00253877" w:rsidRDefault="00680296" w:rsidP="00AA332C">
            <w:pPr>
              <w:rPr>
                <w:b/>
              </w:rPr>
            </w:pPr>
            <w:r w:rsidRPr="00253877">
              <w:rPr>
                <w:b/>
              </w:rPr>
              <w:t>Титульна сторінка</w:t>
            </w:r>
          </w:p>
        </w:tc>
        <w:tc>
          <w:tcPr>
            <w:tcW w:w="6520" w:type="dxa"/>
            <w:vAlign w:val="center"/>
          </w:tcPr>
          <w:p w:rsidR="00306EA6" w:rsidRPr="00253877" w:rsidRDefault="00306EA6" w:rsidP="00B57CF5">
            <w:pPr>
              <w:jc w:val="center"/>
              <w:rPr>
                <w:b/>
                <w:bCs/>
                <w:iCs/>
              </w:rPr>
            </w:pPr>
          </w:p>
          <w:p w:rsidR="00BA314F" w:rsidRPr="00253877" w:rsidRDefault="00BA314F" w:rsidP="00B57CF5">
            <w:pPr>
              <w:jc w:val="center"/>
            </w:pPr>
            <w:r w:rsidRPr="00253877">
              <w:rPr>
                <w:b/>
                <w:bCs/>
                <w:iCs/>
              </w:rPr>
              <w:t>ЗАТВЕРДЖЕНО</w:t>
            </w:r>
          </w:p>
          <w:p w:rsidR="00BA314F" w:rsidRPr="00253877" w:rsidRDefault="00BA314F" w:rsidP="00B57CF5">
            <w:pPr>
              <w:jc w:val="center"/>
              <w:rPr>
                <w:bCs/>
                <w:iCs/>
              </w:rPr>
            </w:pPr>
            <w:r w:rsidRPr="00253877">
              <w:rPr>
                <w:bCs/>
                <w:iCs/>
              </w:rPr>
              <w:t>Рішенням уповноваженої особи</w:t>
            </w:r>
          </w:p>
          <w:p w:rsidR="00BA314F" w:rsidRPr="00253877" w:rsidRDefault="00BA314F" w:rsidP="00B57CF5">
            <w:pPr>
              <w:jc w:val="center"/>
              <w:rPr>
                <w:bCs/>
                <w:iCs/>
              </w:rPr>
            </w:pPr>
            <w:r w:rsidRPr="00253877">
              <w:rPr>
                <w:bCs/>
                <w:iCs/>
              </w:rPr>
              <w:t xml:space="preserve">Протокол  </w:t>
            </w:r>
            <w:r w:rsidR="006A6739" w:rsidRPr="00253877">
              <w:rPr>
                <w:b/>
                <w:bCs/>
                <w:iCs/>
              </w:rPr>
              <w:t>№46 від 15 травня 2023 р.</w:t>
            </w:r>
          </w:p>
          <w:p w:rsidR="00680296" w:rsidRPr="00253877" w:rsidRDefault="00680296" w:rsidP="00870BB2">
            <w:pPr>
              <w:shd w:val="clear" w:color="auto" w:fill="FFFFFF"/>
              <w:jc w:val="both"/>
              <w:textAlignment w:val="baseline"/>
              <w:rPr>
                <w:b/>
              </w:rPr>
            </w:pPr>
          </w:p>
        </w:tc>
        <w:tc>
          <w:tcPr>
            <w:tcW w:w="6663" w:type="dxa"/>
            <w:vAlign w:val="center"/>
          </w:tcPr>
          <w:p w:rsidR="00D97A5B" w:rsidRPr="00253877" w:rsidRDefault="00D97A5B" w:rsidP="00B57CF5">
            <w:pPr>
              <w:jc w:val="center"/>
            </w:pPr>
            <w:r w:rsidRPr="00253877">
              <w:rPr>
                <w:b/>
                <w:bCs/>
                <w:iCs/>
              </w:rPr>
              <w:t>ЗАТВЕРДЖЕНО зміни</w:t>
            </w:r>
          </w:p>
          <w:p w:rsidR="00D97A5B" w:rsidRPr="00253877" w:rsidRDefault="00D97A5B" w:rsidP="00B57CF5">
            <w:pPr>
              <w:jc w:val="center"/>
              <w:rPr>
                <w:bCs/>
                <w:iCs/>
              </w:rPr>
            </w:pPr>
            <w:r w:rsidRPr="00253877">
              <w:rPr>
                <w:bCs/>
                <w:iCs/>
              </w:rPr>
              <w:t>Рішенням уповноваженої особи</w:t>
            </w:r>
          </w:p>
          <w:p w:rsidR="00680296" w:rsidRPr="00253877" w:rsidRDefault="00D97A5B" w:rsidP="00253877">
            <w:pPr>
              <w:jc w:val="center"/>
              <w:rPr>
                <w:b/>
              </w:rPr>
            </w:pPr>
            <w:r w:rsidRPr="00253877">
              <w:rPr>
                <w:bCs/>
                <w:iCs/>
              </w:rPr>
              <w:t xml:space="preserve">Протокол  </w:t>
            </w:r>
            <w:r w:rsidRPr="00253877">
              <w:rPr>
                <w:b/>
                <w:bCs/>
                <w:iCs/>
              </w:rPr>
              <w:t>№</w:t>
            </w:r>
            <w:r w:rsidR="00253877" w:rsidRPr="00253877">
              <w:rPr>
                <w:b/>
                <w:bCs/>
                <w:iCs/>
              </w:rPr>
              <w:t>55</w:t>
            </w:r>
            <w:r w:rsidRPr="00253877">
              <w:rPr>
                <w:b/>
                <w:bCs/>
                <w:iCs/>
              </w:rPr>
              <w:t xml:space="preserve"> від </w:t>
            </w:r>
            <w:r w:rsidR="006A6739" w:rsidRPr="00253877">
              <w:rPr>
                <w:b/>
                <w:bCs/>
                <w:iCs/>
              </w:rPr>
              <w:t>06</w:t>
            </w:r>
            <w:r w:rsidR="00227CD0" w:rsidRPr="00253877">
              <w:rPr>
                <w:b/>
                <w:bCs/>
                <w:iCs/>
              </w:rPr>
              <w:t>.</w:t>
            </w:r>
            <w:r w:rsidR="006A6739" w:rsidRPr="00253877">
              <w:rPr>
                <w:b/>
                <w:bCs/>
                <w:iCs/>
              </w:rPr>
              <w:t>06</w:t>
            </w:r>
            <w:r w:rsidR="00227CD0" w:rsidRPr="00253877">
              <w:rPr>
                <w:b/>
                <w:bCs/>
                <w:iCs/>
              </w:rPr>
              <w:t>.2023</w:t>
            </w:r>
          </w:p>
        </w:tc>
      </w:tr>
      <w:tr w:rsidR="00253877" w:rsidRPr="00253877" w:rsidTr="00C7038E">
        <w:trPr>
          <w:trHeight w:val="566"/>
        </w:trPr>
        <w:tc>
          <w:tcPr>
            <w:tcW w:w="518" w:type="dxa"/>
            <w:vAlign w:val="center"/>
          </w:tcPr>
          <w:p w:rsidR="00BA314F" w:rsidRPr="00253877" w:rsidRDefault="00BA314F" w:rsidP="0051042C">
            <w:pPr>
              <w:jc w:val="center"/>
              <w:rPr>
                <w:b/>
              </w:rPr>
            </w:pPr>
            <w:r w:rsidRPr="00253877">
              <w:rPr>
                <w:b/>
              </w:rPr>
              <w:t>2</w:t>
            </w:r>
          </w:p>
        </w:tc>
        <w:tc>
          <w:tcPr>
            <w:tcW w:w="1467" w:type="dxa"/>
            <w:vAlign w:val="center"/>
          </w:tcPr>
          <w:p w:rsidR="00BA314F" w:rsidRPr="00253877" w:rsidRDefault="00BA314F" w:rsidP="00AA332C">
            <w:pPr>
              <w:rPr>
                <w:b/>
              </w:rPr>
            </w:pPr>
            <w:r w:rsidRPr="00253877">
              <w:rPr>
                <w:b/>
              </w:rPr>
              <w:t>Титульна сторінка</w:t>
            </w:r>
          </w:p>
        </w:tc>
        <w:tc>
          <w:tcPr>
            <w:tcW w:w="6520" w:type="dxa"/>
            <w:vAlign w:val="center"/>
          </w:tcPr>
          <w:p w:rsidR="00BA314F" w:rsidRPr="00253877" w:rsidRDefault="006A6739" w:rsidP="00386729">
            <w:pPr>
              <w:jc w:val="center"/>
              <w:rPr>
                <w:b/>
                <w:bCs/>
                <w:iCs/>
              </w:rPr>
            </w:pPr>
            <w:r w:rsidRPr="00253877">
              <w:rPr>
                <w:b/>
                <w:bCs/>
                <w:iCs/>
              </w:rPr>
              <w:t>-</w:t>
            </w:r>
          </w:p>
        </w:tc>
        <w:tc>
          <w:tcPr>
            <w:tcW w:w="6663" w:type="dxa"/>
            <w:vAlign w:val="center"/>
          </w:tcPr>
          <w:p w:rsidR="00386729" w:rsidRPr="00253877" w:rsidRDefault="00386729" w:rsidP="00A3432A">
            <w:pPr>
              <w:spacing w:line="264" w:lineRule="auto"/>
              <w:jc w:val="center"/>
              <w:rPr>
                <w:b/>
              </w:rPr>
            </w:pPr>
          </w:p>
          <w:p w:rsidR="00D97A5B" w:rsidRPr="00253877" w:rsidRDefault="00D97A5B" w:rsidP="00A3432A">
            <w:pPr>
              <w:spacing w:line="264" w:lineRule="auto"/>
              <w:jc w:val="center"/>
              <w:rPr>
                <w:b/>
              </w:rPr>
            </w:pPr>
            <w:r w:rsidRPr="00253877">
              <w:rPr>
                <w:b/>
              </w:rPr>
              <w:t xml:space="preserve">(в новій редакції зі змінами від </w:t>
            </w:r>
            <w:r w:rsidR="006A6739" w:rsidRPr="00253877">
              <w:rPr>
                <w:b/>
              </w:rPr>
              <w:t>06</w:t>
            </w:r>
            <w:r w:rsidRPr="00253877">
              <w:rPr>
                <w:b/>
              </w:rPr>
              <w:t>.</w:t>
            </w:r>
            <w:r w:rsidR="006A6739" w:rsidRPr="00253877">
              <w:rPr>
                <w:b/>
              </w:rPr>
              <w:t>06</w:t>
            </w:r>
            <w:r w:rsidRPr="00253877">
              <w:rPr>
                <w:b/>
              </w:rPr>
              <w:t>.2023 року)</w:t>
            </w:r>
          </w:p>
          <w:p w:rsidR="00BA314F" w:rsidRPr="00253877" w:rsidRDefault="00BA314F" w:rsidP="00A3432A">
            <w:pPr>
              <w:jc w:val="center"/>
              <w:rPr>
                <w:b/>
                <w:bCs/>
                <w:iCs/>
              </w:rPr>
            </w:pPr>
          </w:p>
        </w:tc>
      </w:tr>
      <w:tr w:rsidR="00253877" w:rsidRPr="00253877" w:rsidTr="00C7038E">
        <w:trPr>
          <w:trHeight w:val="1653"/>
        </w:trPr>
        <w:tc>
          <w:tcPr>
            <w:tcW w:w="518" w:type="dxa"/>
            <w:vAlign w:val="center"/>
          </w:tcPr>
          <w:p w:rsidR="00BA314F" w:rsidRPr="00253877" w:rsidRDefault="00BA314F" w:rsidP="0051042C">
            <w:pPr>
              <w:jc w:val="center"/>
              <w:rPr>
                <w:b/>
              </w:rPr>
            </w:pPr>
            <w:r w:rsidRPr="00253877">
              <w:rPr>
                <w:b/>
              </w:rPr>
              <w:t>3</w:t>
            </w:r>
          </w:p>
        </w:tc>
        <w:tc>
          <w:tcPr>
            <w:tcW w:w="1467" w:type="dxa"/>
            <w:vAlign w:val="center"/>
          </w:tcPr>
          <w:p w:rsidR="00BA314F" w:rsidRPr="00253877" w:rsidRDefault="006A6739" w:rsidP="006A6739">
            <w:pPr>
              <w:rPr>
                <w:b/>
              </w:rPr>
            </w:pPr>
            <w:r w:rsidRPr="00253877">
              <w:rPr>
                <w:b/>
              </w:rPr>
              <w:t>П.п.3.6.2 п. 6 розділу 3 ТД</w:t>
            </w:r>
          </w:p>
        </w:tc>
        <w:tc>
          <w:tcPr>
            <w:tcW w:w="6520" w:type="dxa"/>
            <w:vAlign w:val="center"/>
          </w:tcPr>
          <w:p w:rsidR="006A6739" w:rsidRPr="00253877" w:rsidRDefault="006A6739" w:rsidP="006A6739">
            <w:pPr>
              <w:ind w:right="141"/>
              <w:jc w:val="both"/>
            </w:pPr>
            <w:r w:rsidRPr="00253877">
              <w:t>3.6.2. Технічні, якісні, кількісні та інші вимоги до предмета закупівлі:</w:t>
            </w:r>
          </w:p>
          <w:p w:rsidR="006A6739" w:rsidRPr="00253877" w:rsidRDefault="006A6739" w:rsidP="006A6739">
            <w:pPr>
              <w:ind w:right="144"/>
              <w:contextualSpacing/>
              <w:jc w:val="both"/>
              <w:rPr>
                <w:b/>
                <w:u w:val="single"/>
              </w:rPr>
            </w:pPr>
            <w:r w:rsidRPr="00253877">
              <w:rPr>
                <w:b/>
                <w:u w:val="single"/>
              </w:rPr>
              <w:t>Вугілля</w:t>
            </w:r>
            <w:r w:rsidR="00253877" w:rsidRPr="00253877">
              <w:rPr>
                <w:b/>
                <w:u w:val="single"/>
              </w:rPr>
              <w:t xml:space="preserve"> кам’яне марки Г (Г2) 13-100 – </w:t>
            </w:r>
            <w:r w:rsidRPr="00253877">
              <w:rPr>
                <w:b/>
                <w:u w:val="single"/>
              </w:rPr>
              <w:t xml:space="preserve">300т. </w:t>
            </w:r>
          </w:p>
          <w:p w:rsidR="006A6739" w:rsidRPr="00253877" w:rsidRDefault="006A6739" w:rsidP="006A6739">
            <w:pPr>
              <w:tabs>
                <w:tab w:val="left" w:pos="108"/>
              </w:tabs>
              <w:ind w:left="686" w:hanging="686"/>
              <w:contextualSpacing/>
              <w:jc w:val="both"/>
            </w:pPr>
            <w:r w:rsidRPr="00253877">
              <w:t>зольність на сухий стан палива – не більше, ніж</w:t>
            </w:r>
            <w:r w:rsidR="00253877" w:rsidRPr="00253877">
              <w:t xml:space="preserve"> </w:t>
            </w:r>
            <w:r w:rsidRPr="00253877">
              <w:t>24%;</w:t>
            </w:r>
          </w:p>
          <w:p w:rsidR="006A6739" w:rsidRPr="00253877" w:rsidRDefault="006A6739" w:rsidP="006A6739">
            <w:pPr>
              <w:tabs>
                <w:tab w:val="left" w:pos="108"/>
                <w:tab w:val="left" w:pos="158"/>
              </w:tabs>
              <w:ind w:left="686" w:hanging="686"/>
              <w:contextualSpacing/>
            </w:pPr>
            <w:r w:rsidRPr="00253877">
              <w:t>загальна волога на робочий стан палива – не більше, ніж 8%.</w:t>
            </w:r>
          </w:p>
          <w:p w:rsidR="006A6739" w:rsidRPr="00253877" w:rsidRDefault="006A6739" w:rsidP="006A6739">
            <w:pPr>
              <w:tabs>
                <w:tab w:val="left" w:pos="108"/>
                <w:tab w:val="left" w:pos="158"/>
              </w:tabs>
              <w:ind w:left="686" w:hanging="686"/>
              <w:contextualSpacing/>
              <w:rPr>
                <w:b/>
                <w:u w:val="single"/>
              </w:rPr>
            </w:pPr>
            <w:r w:rsidRPr="00253877">
              <w:rPr>
                <w:b/>
                <w:u w:val="single"/>
              </w:rPr>
              <w:t>Вугілля кам’яне марки П 6-100 – 5 т.</w:t>
            </w:r>
          </w:p>
          <w:p w:rsidR="006A6739" w:rsidRPr="00253877" w:rsidRDefault="006A6739" w:rsidP="006A6739">
            <w:pPr>
              <w:tabs>
                <w:tab w:val="left" w:pos="108"/>
                <w:tab w:val="left" w:pos="158"/>
              </w:tabs>
              <w:ind w:left="686" w:hanging="686"/>
              <w:contextualSpacing/>
            </w:pPr>
            <w:r w:rsidRPr="00253877">
              <w:t>зольність на сухий стан палива – не більше, ніж 25%;</w:t>
            </w:r>
          </w:p>
          <w:p w:rsidR="006A6739" w:rsidRPr="00253877" w:rsidRDefault="006A6739" w:rsidP="006A6739">
            <w:pPr>
              <w:tabs>
                <w:tab w:val="left" w:pos="108"/>
                <w:tab w:val="left" w:pos="158"/>
              </w:tabs>
              <w:ind w:left="686" w:hanging="686"/>
              <w:contextualSpacing/>
            </w:pPr>
            <w:r w:rsidRPr="00253877">
              <w:t>загальна волога на робочий стан палива – не більше, ніж 8%.</w:t>
            </w:r>
          </w:p>
          <w:p w:rsidR="006A6739" w:rsidRPr="00253877" w:rsidRDefault="006A6739" w:rsidP="006A6739">
            <w:pPr>
              <w:pStyle w:val="a6"/>
              <w:snapToGrid w:val="0"/>
              <w:spacing w:after="0"/>
              <w:ind w:right="113"/>
              <w:contextualSpacing/>
              <w:rPr>
                <w:rFonts w:ascii="Times New Roman" w:hAnsi="Times New Roman"/>
                <w:b/>
                <w:sz w:val="24"/>
                <w:szCs w:val="24"/>
                <w:u w:val="single"/>
              </w:rPr>
            </w:pPr>
            <w:r w:rsidRPr="00253877">
              <w:rPr>
                <w:rFonts w:ascii="Times New Roman" w:hAnsi="Times New Roman"/>
                <w:b/>
                <w:sz w:val="24"/>
                <w:szCs w:val="24"/>
                <w:u w:val="single"/>
              </w:rPr>
              <w:t>Гранули паливні з відходів деревини (пелети) – 185т.</w:t>
            </w:r>
          </w:p>
          <w:p w:rsidR="006A6739" w:rsidRPr="00253877" w:rsidRDefault="006A6739" w:rsidP="006A6739">
            <w:pPr>
              <w:contextualSpacing/>
            </w:pPr>
            <w:r w:rsidRPr="00253877">
              <w:t xml:space="preserve">матеріал </w:t>
            </w:r>
            <w:proofErr w:type="spellStart"/>
            <w:r w:rsidRPr="00253877">
              <w:t>пелет</w:t>
            </w:r>
            <w:proofErr w:type="spellEnd"/>
            <w:r w:rsidRPr="00253877">
              <w:t xml:space="preserve"> – деревина (хвойні, листяні породи);</w:t>
            </w:r>
          </w:p>
          <w:p w:rsidR="006A6739" w:rsidRPr="00253877" w:rsidRDefault="006A6739" w:rsidP="006A6739">
            <w:pPr>
              <w:contextualSpacing/>
            </w:pPr>
            <w:r w:rsidRPr="00253877">
              <w:t>діаметр – від 4 до 24 мм;</w:t>
            </w:r>
          </w:p>
          <w:p w:rsidR="006A6739" w:rsidRPr="00253877" w:rsidRDefault="006A6739" w:rsidP="006A6739">
            <w:pPr>
              <w:contextualSpacing/>
            </w:pPr>
            <w:r w:rsidRPr="00253877">
              <w:t>довжина – від 3 до 49 мм;</w:t>
            </w:r>
          </w:p>
          <w:p w:rsidR="006A6739" w:rsidRPr="00253877" w:rsidRDefault="006A6739" w:rsidP="006A6739">
            <w:pPr>
              <w:contextualSpacing/>
            </w:pPr>
            <w:r w:rsidRPr="00253877">
              <w:t>загальна вологість – не більше 10%;</w:t>
            </w:r>
          </w:p>
          <w:p w:rsidR="006A6739" w:rsidRPr="00253877" w:rsidRDefault="006A6739" w:rsidP="006A6739">
            <w:pPr>
              <w:contextualSpacing/>
            </w:pPr>
            <w:r w:rsidRPr="00253877">
              <w:t xml:space="preserve">теплота згорання – не менше не менше 17,5 </w:t>
            </w:r>
            <w:proofErr w:type="spellStart"/>
            <w:r w:rsidRPr="00253877">
              <w:t>МДж</w:t>
            </w:r>
            <w:proofErr w:type="spellEnd"/>
            <w:r w:rsidRPr="00253877">
              <w:t>/кг;</w:t>
            </w:r>
          </w:p>
          <w:p w:rsidR="006A6739" w:rsidRPr="00253877" w:rsidRDefault="006A6739" w:rsidP="006A6739">
            <w:pPr>
              <w:contextualSpacing/>
            </w:pPr>
            <w:r w:rsidRPr="00253877">
              <w:t>зольність – не більше 1,0%;</w:t>
            </w:r>
          </w:p>
          <w:p w:rsidR="006A6739" w:rsidRPr="00253877" w:rsidRDefault="006A6739" w:rsidP="006A6739">
            <w:pPr>
              <w:contextualSpacing/>
            </w:pPr>
            <w:proofErr w:type="spellStart"/>
            <w:r w:rsidRPr="00253877">
              <w:t>фасовка</w:t>
            </w:r>
            <w:proofErr w:type="spellEnd"/>
            <w:r w:rsidRPr="00253877">
              <w:t xml:space="preserve"> в поліетиленових мішках – від 3 до 36 кг.</w:t>
            </w:r>
          </w:p>
          <w:p w:rsidR="006A6739" w:rsidRPr="00253877" w:rsidRDefault="006A6739" w:rsidP="006A6739">
            <w:pPr>
              <w:contextualSpacing/>
            </w:pPr>
          </w:p>
          <w:p w:rsidR="006A6739" w:rsidRPr="00253877" w:rsidRDefault="006A6739" w:rsidP="006A6739">
            <w:pPr>
              <w:contextualSpacing/>
            </w:pPr>
            <w:r w:rsidRPr="00253877">
              <w:t>По вугіллю:</w:t>
            </w:r>
          </w:p>
          <w:p w:rsidR="006A6739" w:rsidRPr="00253877" w:rsidRDefault="006A6739" w:rsidP="006A6739">
            <w:pPr>
              <w:contextualSpacing/>
              <w:jc w:val="both"/>
            </w:pPr>
            <w:r w:rsidRPr="00253877">
              <w:t xml:space="preserve">Учасник торгів повинен підтвердити якість товарів, що пропонується до реалізації наданням в складі пропозиції копії сертифікату генетичних, технологічних та якісних </w:t>
            </w:r>
            <w:r w:rsidRPr="00253877">
              <w:lastRenderedPageBreak/>
              <w:t>характеристик на вугільну продукцію, що становить предмет закупівлі за даними торгами, який виданий Технічним комітетом України з стандартизації ТК 92 (або іншою установою уповноваженою по сертифікації вугільної продукції), і який посвідчений мокрою основною печаткою безпосереднього виробника вугілля або його представником (дилером, дистриб’ютором, продавцем). Сертифікати повинні бути дійсними на момент розкриття тендерних пропозицій. У сертифікаті обов’язково має бути зазначено коли він виданий та термін (строк), до якого він дійсний.</w:t>
            </w:r>
          </w:p>
          <w:p w:rsidR="006A6739" w:rsidRPr="00253877" w:rsidRDefault="006A6739" w:rsidP="006A6739">
            <w:pPr>
              <w:contextualSpacing/>
            </w:pPr>
          </w:p>
          <w:p w:rsidR="006A6739" w:rsidRPr="00253877" w:rsidRDefault="006A6739" w:rsidP="006A6739">
            <w:pPr>
              <w:contextualSpacing/>
            </w:pPr>
            <w:r w:rsidRPr="00253877">
              <w:t xml:space="preserve">По </w:t>
            </w:r>
            <w:proofErr w:type="spellStart"/>
            <w:r w:rsidRPr="00253877">
              <w:t>пелетах</w:t>
            </w:r>
            <w:proofErr w:type="spellEnd"/>
            <w:r w:rsidRPr="00253877">
              <w:t xml:space="preserve">: </w:t>
            </w:r>
          </w:p>
          <w:p w:rsidR="006A6739" w:rsidRPr="00253877" w:rsidRDefault="006A6739" w:rsidP="006A6739">
            <w:pPr>
              <w:spacing w:line="264" w:lineRule="auto"/>
              <w:ind w:right="141"/>
              <w:jc w:val="both"/>
              <w:rPr>
                <w:rFonts w:eastAsia="Calibri"/>
              </w:rPr>
            </w:pPr>
            <w:r w:rsidRPr="00253877">
              <w:rPr>
                <w:rFonts w:eastAsia="Calibri"/>
              </w:rPr>
              <w:t>Якість, безпечність та походження товарів, підтверджуються документами, виданими акредитованим органом по сертифікації на спеціальному бланку та/або уповноваженою організацією, установою здійснювати випробовування відповідної продукції. Для підтвердження якості в складі тендерної пропозиції надаються сертифікат якості та/або сертифікат відповідності та/або протоколи сертифікаційних випробувань та/або посвідчення якості з зазначенням фактичних технічних характеристик товару.</w:t>
            </w:r>
          </w:p>
          <w:p w:rsidR="00BA314F" w:rsidRPr="00253877" w:rsidRDefault="00BA314F" w:rsidP="00F13652">
            <w:pPr>
              <w:shd w:val="clear" w:color="auto" w:fill="FFFFFF"/>
              <w:textAlignment w:val="baseline"/>
              <w:rPr>
                <w:b/>
              </w:rPr>
            </w:pPr>
          </w:p>
        </w:tc>
        <w:tc>
          <w:tcPr>
            <w:tcW w:w="6663" w:type="dxa"/>
            <w:vAlign w:val="center"/>
          </w:tcPr>
          <w:p w:rsidR="006A6739" w:rsidRPr="00253877" w:rsidRDefault="006A6739" w:rsidP="006A6739">
            <w:pPr>
              <w:ind w:right="141"/>
              <w:jc w:val="both"/>
            </w:pPr>
            <w:r w:rsidRPr="00253877">
              <w:lastRenderedPageBreak/>
              <w:t>3.6.2. Технічні, якісні, кількісні та інші вимоги до предмета закупівлі:</w:t>
            </w:r>
          </w:p>
          <w:p w:rsidR="006A6739" w:rsidRPr="00253877" w:rsidRDefault="006A6739" w:rsidP="006A6739">
            <w:pPr>
              <w:ind w:right="144"/>
              <w:contextualSpacing/>
              <w:jc w:val="both"/>
              <w:rPr>
                <w:b/>
                <w:u w:val="single"/>
              </w:rPr>
            </w:pPr>
            <w:r w:rsidRPr="00253877">
              <w:rPr>
                <w:b/>
                <w:u w:val="single"/>
              </w:rPr>
              <w:t>Вугілля</w:t>
            </w:r>
            <w:r w:rsidR="00253877" w:rsidRPr="00253877">
              <w:rPr>
                <w:b/>
                <w:u w:val="single"/>
              </w:rPr>
              <w:t xml:space="preserve"> кам’яне марки Г (Г2) 13-100 – </w:t>
            </w:r>
            <w:r w:rsidRPr="00253877">
              <w:rPr>
                <w:b/>
                <w:u w:val="single"/>
              </w:rPr>
              <w:t xml:space="preserve">300т. </w:t>
            </w:r>
          </w:p>
          <w:p w:rsidR="006A6739" w:rsidRPr="00253877" w:rsidRDefault="006A6739" w:rsidP="006A6739">
            <w:pPr>
              <w:tabs>
                <w:tab w:val="left" w:pos="108"/>
              </w:tabs>
              <w:ind w:left="686" w:hanging="686"/>
              <w:contextualSpacing/>
              <w:jc w:val="both"/>
            </w:pPr>
            <w:r w:rsidRPr="00253877">
              <w:t>зольність на сухий стан палива – не більше, ніж</w:t>
            </w:r>
            <w:r w:rsidR="00253877" w:rsidRPr="00253877">
              <w:t xml:space="preserve"> </w:t>
            </w:r>
            <w:r w:rsidRPr="00253877">
              <w:t>24%;</w:t>
            </w:r>
          </w:p>
          <w:p w:rsidR="006A6739" w:rsidRPr="00253877" w:rsidRDefault="006A6739" w:rsidP="006A6739">
            <w:pPr>
              <w:tabs>
                <w:tab w:val="left" w:pos="108"/>
                <w:tab w:val="left" w:pos="158"/>
              </w:tabs>
              <w:ind w:left="686" w:hanging="686"/>
              <w:contextualSpacing/>
            </w:pPr>
            <w:r w:rsidRPr="00253877">
              <w:t>загальна волога на робочий стан палива – не більше, ніж 8%.</w:t>
            </w:r>
          </w:p>
          <w:p w:rsidR="006A6739" w:rsidRPr="00253877" w:rsidRDefault="006A6739" w:rsidP="006A6739">
            <w:pPr>
              <w:tabs>
                <w:tab w:val="left" w:pos="108"/>
                <w:tab w:val="left" w:pos="158"/>
              </w:tabs>
              <w:ind w:left="686" w:hanging="686"/>
              <w:contextualSpacing/>
              <w:rPr>
                <w:b/>
                <w:u w:val="single"/>
              </w:rPr>
            </w:pPr>
            <w:r w:rsidRPr="00253877">
              <w:rPr>
                <w:b/>
                <w:u w:val="single"/>
              </w:rPr>
              <w:t>Вугілля кам’яне марки П 6-100 – 5 т.</w:t>
            </w:r>
          </w:p>
          <w:p w:rsidR="006A6739" w:rsidRPr="00253877" w:rsidRDefault="006A6739" w:rsidP="006A6739">
            <w:pPr>
              <w:tabs>
                <w:tab w:val="left" w:pos="108"/>
                <w:tab w:val="left" w:pos="158"/>
              </w:tabs>
              <w:ind w:left="686" w:hanging="686"/>
              <w:contextualSpacing/>
            </w:pPr>
            <w:r w:rsidRPr="00253877">
              <w:t>зольність на сухий стан палива – не більше, ніж 25%;</w:t>
            </w:r>
          </w:p>
          <w:p w:rsidR="006A6739" w:rsidRPr="00253877" w:rsidRDefault="006A6739" w:rsidP="006A6739">
            <w:pPr>
              <w:tabs>
                <w:tab w:val="left" w:pos="108"/>
                <w:tab w:val="left" w:pos="158"/>
              </w:tabs>
              <w:ind w:left="686" w:hanging="686"/>
              <w:contextualSpacing/>
            </w:pPr>
            <w:r w:rsidRPr="00253877">
              <w:t>загальна волога на робочий стан палива – не більше, ніж 8%.</w:t>
            </w:r>
          </w:p>
          <w:p w:rsidR="006A6739" w:rsidRPr="00253877" w:rsidRDefault="006A6739" w:rsidP="006A6739">
            <w:pPr>
              <w:pStyle w:val="a6"/>
              <w:snapToGrid w:val="0"/>
              <w:spacing w:after="0"/>
              <w:ind w:right="113"/>
              <w:contextualSpacing/>
              <w:rPr>
                <w:rFonts w:ascii="Times New Roman" w:hAnsi="Times New Roman"/>
                <w:b/>
                <w:sz w:val="24"/>
                <w:szCs w:val="24"/>
                <w:u w:val="single"/>
              </w:rPr>
            </w:pPr>
            <w:r w:rsidRPr="00253877">
              <w:rPr>
                <w:rFonts w:ascii="Times New Roman" w:hAnsi="Times New Roman"/>
                <w:b/>
                <w:sz w:val="24"/>
                <w:szCs w:val="24"/>
                <w:u w:val="single"/>
              </w:rPr>
              <w:t>Гранули паливні з відходів деревини (пелети) – 185т.</w:t>
            </w:r>
          </w:p>
          <w:p w:rsidR="006A6739" w:rsidRPr="00253877" w:rsidRDefault="006A6739" w:rsidP="006A6739">
            <w:pPr>
              <w:contextualSpacing/>
            </w:pPr>
            <w:r w:rsidRPr="00253877">
              <w:t xml:space="preserve">матеріал </w:t>
            </w:r>
            <w:proofErr w:type="spellStart"/>
            <w:r w:rsidRPr="00253877">
              <w:t>пелет</w:t>
            </w:r>
            <w:proofErr w:type="spellEnd"/>
            <w:r w:rsidRPr="00253877">
              <w:t xml:space="preserve"> – деревина (хвойні, листяні породи);</w:t>
            </w:r>
          </w:p>
          <w:p w:rsidR="006A6739" w:rsidRPr="00253877" w:rsidRDefault="006A6739" w:rsidP="006A6739">
            <w:pPr>
              <w:contextualSpacing/>
            </w:pPr>
            <w:r w:rsidRPr="00253877">
              <w:t>діаметр – від 4 до 24 мм;</w:t>
            </w:r>
          </w:p>
          <w:p w:rsidR="006A6739" w:rsidRPr="00253877" w:rsidRDefault="006A6739" w:rsidP="006A6739">
            <w:pPr>
              <w:contextualSpacing/>
            </w:pPr>
            <w:r w:rsidRPr="00253877">
              <w:t>довжина – від 3 до 49 мм;</w:t>
            </w:r>
          </w:p>
          <w:p w:rsidR="006A6739" w:rsidRPr="00253877" w:rsidRDefault="006A6739" w:rsidP="006A6739">
            <w:pPr>
              <w:contextualSpacing/>
            </w:pPr>
            <w:r w:rsidRPr="00253877">
              <w:t>загальна вологість – не більше 10%;</w:t>
            </w:r>
          </w:p>
          <w:p w:rsidR="006A6739" w:rsidRPr="00253877" w:rsidRDefault="006A6739" w:rsidP="006A6739">
            <w:pPr>
              <w:contextualSpacing/>
            </w:pPr>
            <w:r w:rsidRPr="00253877">
              <w:t xml:space="preserve">теплота згорання – не менше не менше 17,5 </w:t>
            </w:r>
            <w:proofErr w:type="spellStart"/>
            <w:r w:rsidRPr="00253877">
              <w:t>МДж</w:t>
            </w:r>
            <w:proofErr w:type="spellEnd"/>
            <w:r w:rsidRPr="00253877">
              <w:t>/кг;</w:t>
            </w:r>
          </w:p>
          <w:p w:rsidR="006A6739" w:rsidRPr="00253877" w:rsidRDefault="006A6739" w:rsidP="006A6739">
            <w:pPr>
              <w:contextualSpacing/>
            </w:pPr>
            <w:r w:rsidRPr="00253877">
              <w:t>зольність – не більше 1,0%;</w:t>
            </w:r>
          </w:p>
          <w:p w:rsidR="006A6739" w:rsidRPr="00253877" w:rsidRDefault="006A6739" w:rsidP="006A6739">
            <w:pPr>
              <w:contextualSpacing/>
            </w:pPr>
            <w:proofErr w:type="spellStart"/>
            <w:r w:rsidRPr="00253877">
              <w:t>фасовка</w:t>
            </w:r>
            <w:proofErr w:type="spellEnd"/>
            <w:r w:rsidRPr="00253877">
              <w:t xml:space="preserve"> в поліетиленових мішках – від 3 до 36 кг.</w:t>
            </w:r>
          </w:p>
          <w:p w:rsidR="006A6739" w:rsidRPr="00253877" w:rsidRDefault="006A6739" w:rsidP="006A6739">
            <w:pPr>
              <w:contextualSpacing/>
            </w:pPr>
          </w:p>
          <w:p w:rsidR="006A6739" w:rsidRPr="00253877" w:rsidRDefault="006A6739" w:rsidP="006A6739">
            <w:pPr>
              <w:contextualSpacing/>
            </w:pPr>
            <w:r w:rsidRPr="00253877">
              <w:t>По вугіллю:</w:t>
            </w:r>
          </w:p>
          <w:p w:rsidR="006A6739" w:rsidRPr="00253877" w:rsidRDefault="006A6739" w:rsidP="006A6739">
            <w:pPr>
              <w:contextualSpacing/>
              <w:jc w:val="both"/>
            </w:pPr>
            <w:r w:rsidRPr="00253877">
              <w:t xml:space="preserve">Учасник торгів повинен підтвердити якість товарів, що пропонується до реалізації наданням в складі пропозиції копії сертифікату генетичних, технологічних та якісних </w:t>
            </w:r>
            <w:r w:rsidRPr="00253877">
              <w:lastRenderedPageBreak/>
              <w:t>характеристик на вугільну продукцію, що становить предмет закупівлі за даними торгами, який виданий Технічним комітетом України з стандартизації ТК 92 (або іншою установою уповноваженою по сертифікації вугільної продукції). Сертифікати повинні бути дійсними на момент розкриття тендерних пропозицій. У сертифікаті обов’язково має бути зазначено коли він виданий та термін (строк), до якого він дійсний.</w:t>
            </w:r>
          </w:p>
          <w:p w:rsidR="00BA314F" w:rsidRPr="00253877" w:rsidRDefault="00BA314F" w:rsidP="00D763AD">
            <w:pPr>
              <w:shd w:val="clear" w:color="auto" w:fill="FFFFFF"/>
              <w:textAlignment w:val="baseline"/>
              <w:rPr>
                <w:b/>
              </w:rPr>
            </w:pPr>
          </w:p>
        </w:tc>
      </w:tr>
      <w:tr w:rsidR="00253877" w:rsidRPr="00253877" w:rsidTr="00C7038E">
        <w:trPr>
          <w:trHeight w:val="1653"/>
        </w:trPr>
        <w:tc>
          <w:tcPr>
            <w:tcW w:w="518" w:type="dxa"/>
            <w:vAlign w:val="center"/>
          </w:tcPr>
          <w:p w:rsidR="00F13652" w:rsidRPr="00253877" w:rsidRDefault="00F13652" w:rsidP="0051042C">
            <w:pPr>
              <w:jc w:val="center"/>
              <w:rPr>
                <w:b/>
              </w:rPr>
            </w:pPr>
            <w:r w:rsidRPr="00253877">
              <w:rPr>
                <w:b/>
              </w:rPr>
              <w:lastRenderedPageBreak/>
              <w:t>4</w:t>
            </w:r>
          </w:p>
        </w:tc>
        <w:tc>
          <w:tcPr>
            <w:tcW w:w="1467" w:type="dxa"/>
            <w:vAlign w:val="center"/>
          </w:tcPr>
          <w:p w:rsidR="00F13652" w:rsidRPr="00253877" w:rsidRDefault="006A6739" w:rsidP="006A6739">
            <w:pPr>
              <w:rPr>
                <w:b/>
              </w:rPr>
            </w:pPr>
            <w:r w:rsidRPr="00253877">
              <w:rPr>
                <w:b/>
              </w:rPr>
              <w:t>П.п.4.1.1. п. 1 розділу 4 ТД</w:t>
            </w:r>
          </w:p>
        </w:tc>
        <w:tc>
          <w:tcPr>
            <w:tcW w:w="6520" w:type="dxa"/>
            <w:vAlign w:val="center"/>
          </w:tcPr>
          <w:p w:rsidR="006A6739" w:rsidRPr="00253877" w:rsidRDefault="006A6739" w:rsidP="006A6739">
            <w:pPr>
              <w:pStyle w:val="a6"/>
              <w:spacing w:after="0"/>
              <w:ind w:left="126" w:right="100"/>
              <w:contextualSpacing/>
              <w:rPr>
                <w:rFonts w:ascii="Times New Roman" w:hAnsi="Times New Roman"/>
                <w:b/>
                <w:sz w:val="24"/>
                <w:szCs w:val="24"/>
              </w:rPr>
            </w:pPr>
            <w:r w:rsidRPr="00253877">
              <w:rPr>
                <w:rFonts w:ascii="Times New Roman" w:hAnsi="Times New Roman"/>
                <w:sz w:val="24"/>
                <w:szCs w:val="24"/>
              </w:rPr>
              <w:t>4.1.1. Кінцевий строк подання тендерних пропозицій (не менше ніж сім днів):</w:t>
            </w:r>
          </w:p>
          <w:p w:rsidR="006A6739" w:rsidRPr="00253877" w:rsidRDefault="006A6739" w:rsidP="006A6739">
            <w:pPr>
              <w:pStyle w:val="a6"/>
              <w:spacing w:after="0"/>
              <w:ind w:left="126" w:right="100"/>
              <w:contextualSpacing/>
              <w:jc w:val="both"/>
              <w:rPr>
                <w:rFonts w:ascii="Times New Roman" w:hAnsi="Times New Roman"/>
                <w:b/>
                <w:sz w:val="24"/>
                <w:szCs w:val="24"/>
              </w:rPr>
            </w:pPr>
            <w:r w:rsidRPr="00253877">
              <w:rPr>
                <w:rFonts w:ascii="Times New Roman" w:hAnsi="Times New Roman"/>
                <w:b/>
                <w:sz w:val="24"/>
                <w:szCs w:val="24"/>
              </w:rPr>
              <w:t>Дата –23 травня 2023 року</w:t>
            </w:r>
          </w:p>
          <w:p w:rsidR="006A6739" w:rsidRPr="00253877" w:rsidRDefault="006A6739" w:rsidP="006A6739">
            <w:pPr>
              <w:pStyle w:val="a6"/>
              <w:spacing w:after="0"/>
              <w:ind w:left="126" w:right="100"/>
              <w:contextualSpacing/>
              <w:jc w:val="both"/>
              <w:rPr>
                <w:rFonts w:ascii="Times New Roman" w:hAnsi="Times New Roman"/>
                <w:b/>
                <w:sz w:val="24"/>
                <w:szCs w:val="24"/>
              </w:rPr>
            </w:pPr>
            <w:r w:rsidRPr="00253877">
              <w:rPr>
                <w:rFonts w:ascii="Times New Roman" w:hAnsi="Times New Roman"/>
                <w:b/>
                <w:sz w:val="24"/>
                <w:szCs w:val="24"/>
              </w:rPr>
              <w:t>Час – до 18:00 год.</w:t>
            </w:r>
          </w:p>
          <w:p w:rsidR="00F13652" w:rsidRPr="00253877" w:rsidRDefault="00F13652" w:rsidP="00F13652">
            <w:pPr>
              <w:shd w:val="clear" w:color="auto" w:fill="FFFFFF"/>
              <w:textAlignment w:val="baseline"/>
              <w:rPr>
                <w:b/>
                <w:bCs/>
              </w:rPr>
            </w:pPr>
          </w:p>
        </w:tc>
        <w:tc>
          <w:tcPr>
            <w:tcW w:w="6663" w:type="dxa"/>
            <w:vAlign w:val="center"/>
          </w:tcPr>
          <w:p w:rsidR="006A6739" w:rsidRPr="00253877" w:rsidRDefault="006A6739" w:rsidP="006A6739">
            <w:pPr>
              <w:pStyle w:val="a6"/>
              <w:spacing w:after="0"/>
              <w:ind w:left="126" w:right="100"/>
              <w:contextualSpacing/>
              <w:rPr>
                <w:rFonts w:ascii="Times New Roman" w:hAnsi="Times New Roman"/>
                <w:b/>
                <w:sz w:val="24"/>
                <w:szCs w:val="24"/>
              </w:rPr>
            </w:pPr>
            <w:r w:rsidRPr="00253877">
              <w:rPr>
                <w:rFonts w:ascii="Times New Roman" w:hAnsi="Times New Roman"/>
                <w:sz w:val="24"/>
                <w:szCs w:val="24"/>
              </w:rPr>
              <w:t>4.1.1. Кінцевий строк подання тендерних пропозицій (не менше ніж сім днів):</w:t>
            </w:r>
          </w:p>
          <w:p w:rsidR="006A6739" w:rsidRPr="00253877" w:rsidRDefault="006A6739" w:rsidP="006A6739">
            <w:pPr>
              <w:pStyle w:val="a6"/>
              <w:spacing w:after="0"/>
              <w:ind w:left="126" w:right="100"/>
              <w:contextualSpacing/>
              <w:jc w:val="both"/>
              <w:rPr>
                <w:rFonts w:ascii="Times New Roman" w:hAnsi="Times New Roman"/>
                <w:b/>
                <w:sz w:val="24"/>
                <w:szCs w:val="24"/>
              </w:rPr>
            </w:pPr>
            <w:r w:rsidRPr="00253877">
              <w:rPr>
                <w:rFonts w:ascii="Times New Roman" w:hAnsi="Times New Roman"/>
                <w:b/>
                <w:sz w:val="24"/>
                <w:szCs w:val="24"/>
              </w:rPr>
              <w:t>Дата –11 червня 2023 року</w:t>
            </w:r>
          </w:p>
          <w:p w:rsidR="006A6739" w:rsidRPr="00253877" w:rsidRDefault="006A6739" w:rsidP="006A6739">
            <w:pPr>
              <w:pStyle w:val="a6"/>
              <w:spacing w:after="0"/>
              <w:ind w:left="126" w:right="100"/>
              <w:contextualSpacing/>
              <w:jc w:val="both"/>
              <w:rPr>
                <w:rFonts w:ascii="Times New Roman" w:hAnsi="Times New Roman"/>
                <w:b/>
                <w:sz w:val="24"/>
                <w:szCs w:val="24"/>
              </w:rPr>
            </w:pPr>
            <w:r w:rsidRPr="00253877">
              <w:rPr>
                <w:rFonts w:ascii="Times New Roman" w:hAnsi="Times New Roman"/>
                <w:b/>
                <w:sz w:val="24"/>
                <w:szCs w:val="24"/>
              </w:rPr>
              <w:t>Час – до 18:00 год.</w:t>
            </w:r>
          </w:p>
          <w:p w:rsidR="00F13652" w:rsidRPr="00253877" w:rsidRDefault="00F13652" w:rsidP="00386729">
            <w:pPr>
              <w:shd w:val="clear" w:color="auto" w:fill="FFFFFF"/>
              <w:textAlignment w:val="baseline"/>
              <w:rPr>
                <w:b/>
              </w:rPr>
            </w:pPr>
          </w:p>
        </w:tc>
      </w:tr>
    </w:tbl>
    <w:p w:rsidR="00B31274" w:rsidRPr="00253877" w:rsidRDefault="00B31274" w:rsidP="00077A71">
      <w:pPr>
        <w:shd w:val="clear" w:color="auto" w:fill="FFFFFF"/>
        <w:tabs>
          <w:tab w:val="left" w:pos="720"/>
        </w:tabs>
        <w:jc w:val="center"/>
        <w:rPr>
          <w:b/>
          <w:bCs/>
          <w:spacing w:val="1"/>
        </w:rPr>
      </w:pPr>
    </w:p>
    <w:p w:rsidR="00253877" w:rsidRPr="00253877" w:rsidRDefault="00253877" w:rsidP="00077A71">
      <w:pPr>
        <w:shd w:val="clear" w:color="auto" w:fill="FFFFFF"/>
        <w:tabs>
          <w:tab w:val="left" w:pos="720"/>
        </w:tabs>
        <w:jc w:val="center"/>
        <w:rPr>
          <w:b/>
          <w:bCs/>
          <w:spacing w:val="1"/>
        </w:rPr>
      </w:pPr>
    </w:p>
    <w:p w:rsidR="00253877" w:rsidRPr="00253877" w:rsidRDefault="00253877" w:rsidP="00253877">
      <w:pPr>
        <w:shd w:val="clear" w:color="auto" w:fill="FFFFFF"/>
        <w:tabs>
          <w:tab w:val="left" w:pos="720"/>
        </w:tabs>
        <w:ind w:firstLine="142"/>
        <w:jc w:val="center"/>
        <w:rPr>
          <w:b/>
          <w:bCs/>
          <w:spacing w:val="1"/>
        </w:rPr>
      </w:pPr>
    </w:p>
    <w:p w:rsidR="00D763AD" w:rsidRPr="00253877" w:rsidRDefault="00D763AD" w:rsidP="008C6A6A">
      <w:pPr>
        <w:shd w:val="clear" w:color="auto" w:fill="FFFFFF"/>
        <w:tabs>
          <w:tab w:val="left" w:pos="720"/>
        </w:tabs>
        <w:rPr>
          <w:b/>
          <w:bCs/>
          <w:spacing w:val="1"/>
        </w:rPr>
      </w:pPr>
    </w:p>
    <w:p w:rsidR="00732F4D" w:rsidRPr="00253877" w:rsidRDefault="00CE3061" w:rsidP="00253877">
      <w:pPr>
        <w:shd w:val="clear" w:color="auto" w:fill="FFFFFF"/>
        <w:tabs>
          <w:tab w:val="left" w:pos="720"/>
        </w:tabs>
        <w:ind w:firstLine="284"/>
        <w:rPr>
          <w:b/>
          <w:bCs/>
          <w:spacing w:val="1"/>
        </w:rPr>
      </w:pPr>
      <w:r w:rsidRPr="00253877">
        <w:rPr>
          <w:b/>
          <w:bCs/>
          <w:spacing w:val="1"/>
        </w:rPr>
        <w:t>Уповноважена особа</w:t>
      </w:r>
      <w:r w:rsidR="007311E9" w:rsidRPr="00253877">
        <w:rPr>
          <w:b/>
          <w:bCs/>
          <w:spacing w:val="1"/>
        </w:rPr>
        <w:tab/>
      </w:r>
      <w:r w:rsidR="00D74AFC" w:rsidRPr="00253877">
        <w:rPr>
          <w:b/>
          <w:bCs/>
          <w:spacing w:val="1"/>
        </w:rPr>
        <w:tab/>
      </w:r>
      <w:r w:rsidR="00750491" w:rsidRPr="00253877">
        <w:rPr>
          <w:b/>
          <w:bCs/>
          <w:spacing w:val="1"/>
        </w:rPr>
        <w:tab/>
      </w:r>
      <w:r w:rsidR="008C6A6A" w:rsidRPr="00253877">
        <w:rPr>
          <w:b/>
          <w:bCs/>
          <w:spacing w:val="1"/>
        </w:rPr>
        <w:tab/>
      </w:r>
      <w:r w:rsidR="008C6A6A" w:rsidRPr="00253877">
        <w:rPr>
          <w:b/>
          <w:bCs/>
          <w:spacing w:val="1"/>
        </w:rPr>
        <w:tab/>
      </w:r>
      <w:r w:rsidR="008C6A6A" w:rsidRPr="00253877">
        <w:rPr>
          <w:b/>
          <w:bCs/>
          <w:spacing w:val="1"/>
        </w:rPr>
        <w:tab/>
      </w:r>
      <w:r w:rsidR="008C6A6A" w:rsidRPr="00253877">
        <w:rPr>
          <w:b/>
          <w:bCs/>
          <w:spacing w:val="1"/>
        </w:rPr>
        <w:tab/>
      </w:r>
      <w:r w:rsidR="008D3271" w:rsidRPr="00253877">
        <w:rPr>
          <w:b/>
          <w:bCs/>
          <w:spacing w:val="1"/>
        </w:rPr>
        <w:t>_____________</w:t>
      </w:r>
      <w:r w:rsidR="008D3271" w:rsidRPr="00253877">
        <w:rPr>
          <w:b/>
          <w:bCs/>
          <w:spacing w:val="1"/>
        </w:rPr>
        <w:tab/>
      </w:r>
      <w:r w:rsidR="00D74AFC" w:rsidRPr="00253877">
        <w:rPr>
          <w:b/>
          <w:bCs/>
          <w:spacing w:val="1"/>
        </w:rPr>
        <w:tab/>
      </w:r>
      <w:r w:rsidR="00D97A5B" w:rsidRPr="00253877">
        <w:rPr>
          <w:b/>
          <w:bCs/>
          <w:spacing w:val="1"/>
        </w:rPr>
        <w:tab/>
      </w:r>
      <w:r w:rsidR="00D97A5B" w:rsidRPr="00253877">
        <w:rPr>
          <w:b/>
          <w:bCs/>
          <w:spacing w:val="1"/>
        </w:rPr>
        <w:tab/>
      </w:r>
      <w:proofErr w:type="spellStart"/>
      <w:r w:rsidR="00253877" w:rsidRPr="00253877">
        <w:rPr>
          <w:b/>
          <w:bCs/>
          <w:spacing w:val="1"/>
          <w:lang w:val="ru-RU"/>
        </w:rPr>
        <w:t>Саамуник</w:t>
      </w:r>
      <w:proofErr w:type="spellEnd"/>
      <w:r w:rsidR="00253877" w:rsidRPr="00253877">
        <w:rPr>
          <w:b/>
          <w:bCs/>
          <w:spacing w:val="1"/>
          <w:lang w:val="ru-RU"/>
        </w:rPr>
        <w:t xml:space="preserve"> Олег </w:t>
      </w:r>
      <w:proofErr w:type="spellStart"/>
      <w:r w:rsidR="00253877" w:rsidRPr="00253877">
        <w:rPr>
          <w:b/>
          <w:bCs/>
          <w:spacing w:val="1"/>
          <w:lang w:val="ru-RU"/>
        </w:rPr>
        <w:t>Васильович</w:t>
      </w:r>
      <w:bookmarkEnd w:id="0"/>
      <w:proofErr w:type="spellEnd"/>
    </w:p>
    <w:sectPr w:rsidR="00732F4D" w:rsidRPr="00253877"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5"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6"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7" w15:restartNumberingAfterBreak="0">
    <w:nsid w:val="540F7FB9"/>
    <w:multiLevelType w:val="hybridMultilevel"/>
    <w:tmpl w:val="B8540A12"/>
    <w:lvl w:ilvl="0" w:tplc="1DDAB43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9"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7F26372E"/>
    <w:multiLevelType w:val="hybridMultilevel"/>
    <w:tmpl w:val="FF8066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8"/>
  </w:num>
  <w:num w:numId="11">
    <w:abstractNumId w:val="2"/>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8D3271"/>
    <w:rsid w:val="00004C3B"/>
    <w:rsid w:val="000050C0"/>
    <w:rsid w:val="00021C0A"/>
    <w:rsid w:val="0004036E"/>
    <w:rsid w:val="0004779D"/>
    <w:rsid w:val="00051D2D"/>
    <w:rsid w:val="00077A71"/>
    <w:rsid w:val="00083059"/>
    <w:rsid w:val="000B0FBF"/>
    <w:rsid w:val="000F43AD"/>
    <w:rsid w:val="00103B01"/>
    <w:rsid w:val="001138C4"/>
    <w:rsid w:val="00126270"/>
    <w:rsid w:val="001357F8"/>
    <w:rsid w:val="0016209F"/>
    <w:rsid w:val="001C0CCB"/>
    <w:rsid w:val="001F55A0"/>
    <w:rsid w:val="00227CD0"/>
    <w:rsid w:val="00237659"/>
    <w:rsid w:val="00253877"/>
    <w:rsid w:val="002D2BC5"/>
    <w:rsid w:val="002F54CC"/>
    <w:rsid w:val="00306EA6"/>
    <w:rsid w:val="00323DFC"/>
    <w:rsid w:val="0035570C"/>
    <w:rsid w:val="00386729"/>
    <w:rsid w:val="003B4E84"/>
    <w:rsid w:val="003F6CC1"/>
    <w:rsid w:val="004557EA"/>
    <w:rsid w:val="00466A49"/>
    <w:rsid w:val="004924A9"/>
    <w:rsid w:val="004B71E5"/>
    <w:rsid w:val="004E24AC"/>
    <w:rsid w:val="00502010"/>
    <w:rsid w:val="005339CA"/>
    <w:rsid w:val="00574AEA"/>
    <w:rsid w:val="005A416C"/>
    <w:rsid w:val="005E38E8"/>
    <w:rsid w:val="005F43A9"/>
    <w:rsid w:val="005F7E4A"/>
    <w:rsid w:val="0062636D"/>
    <w:rsid w:val="00637AD8"/>
    <w:rsid w:val="00680296"/>
    <w:rsid w:val="006A6739"/>
    <w:rsid w:val="006D0CAA"/>
    <w:rsid w:val="007311E9"/>
    <w:rsid w:val="00732F4D"/>
    <w:rsid w:val="00750491"/>
    <w:rsid w:val="00757E99"/>
    <w:rsid w:val="007A194B"/>
    <w:rsid w:val="00815A8A"/>
    <w:rsid w:val="0084706D"/>
    <w:rsid w:val="00870BB2"/>
    <w:rsid w:val="00875598"/>
    <w:rsid w:val="008C456B"/>
    <w:rsid w:val="008C6A6A"/>
    <w:rsid w:val="008D3271"/>
    <w:rsid w:val="00906FF7"/>
    <w:rsid w:val="00916334"/>
    <w:rsid w:val="00917E62"/>
    <w:rsid w:val="00930C61"/>
    <w:rsid w:val="00944244"/>
    <w:rsid w:val="0095427D"/>
    <w:rsid w:val="009C73E1"/>
    <w:rsid w:val="009E6795"/>
    <w:rsid w:val="00A24DB4"/>
    <w:rsid w:val="00A27F4C"/>
    <w:rsid w:val="00A3432A"/>
    <w:rsid w:val="00A51E3E"/>
    <w:rsid w:val="00A74C23"/>
    <w:rsid w:val="00A77FE7"/>
    <w:rsid w:val="00A83C45"/>
    <w:rsid w:val="00AA281F"/>
    <w:rsid w:val="00AA332C"/>
    <w:rsid w:val="00AB5855"/>
    <w:rsid w:val="00AC7304"/>
    <w:rsid w:val="00B228EE"/>
    <w:rsid w:val="00B31274"/>
    <w:rsid w:val="00B32B24"/>
    <w:rsid w:val="00B379AB"/>
    <w:rsid w:val="00B57CF5"/>
    <w:rsid w:val="00B933B1"/>
    <w:rsid w:val="00B97EF6"/>
    <w:rsid w:val="00BA314F"/>
    <w:rsid w:val="00BE7152"/>
    <w:rsid w:val="00BE7B00"/>
    <w:rsid w:val="00C7038E"/>
    <w:rsid w:val="00C83C73"/>
    <w:rsid w:val="00C9049B"/>
    <w:rsid w:val="00C9455C"/>
    <w:rsid w:val="00CA1363"/>
    <w:rsid w:val="00CB66F0"/>
    <w:rsid w:val="00CC0D29"/>
    <w:rsid w:val="00CE3061"/>
    <w:rsid w:val="00D02F3C"/>
    <w:rsid w:val="00D626E0"/>
    <w:rsid w:val="00D74AFC"/>
    <w:rsid w:val="00D763AD"/>
    <w:rsid w:val="00D97A5B"/>
    <w:rsid w:val="00DA2FAF"/>
    <w:rsid w:val="00DC3D84"/>
    <w:rsid w:val="00DC57B4"/>
    <w:rsid w:val="00DE4E7F"/>
    <w:rsid w:val="00E02FE8"/>
    <w:rsid w:val="00E422BC"/>
    <w:rsid w:val="00E54A5C"/>
    <w:rsid w:val="00E71699"/>
    <w:rsid w:val="00E7397D"/>
    <w:rsid w:val="00E81FCB"/>
    <w:rsid w:val="00E9671B"/>
    <w:rsid w:val="00EA0540"/>
    <w:rsid w:val="00EA6930"/>
    <w:rsid w:val="00EA71FA"/>
    <w:rsid w:val="00EE479C"/>
    <w:rsid w:val="00F13652"/>
    <w:rsid w:val="00F749BE"/>
    <w:rsid w:val="00F86ED4"/>
    <w:rsid w:val="00FA24BE"/>
    <w:rsid w:val="00FA3EEC"/>
    <w:rsid w:val="00FB3765"/>
    <w:rsid w:val="00FF7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0971"/>
  <w15:docId w15:val="{F1E44200-D21D-42AF-B114-1900090A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у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ий текст з від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и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character" w:customStyle="1" w:styleId="10">
    <w:name w:val="Виділення1"/>
    <w:rsid w:val="00906FF7"/>
    <w:rPr>
      <w:i/>
      <w:iCs/>
    </w:rPr>
  </w:style>
  <w:style w:type="paragraph" w:customStyle="1" w:styleId="11">
    <w:name w:val="Основний текст1"/>
    <w:basedOn w:val="a"/>
    <w:rsid w:val="00906FF7"/>
    <w:pPr>
      <w:suppressAutoHyphens w:val="0"/>
      <w:spacing w:after="120"/>
      <w:jc w:val="both"/>
    </w:pPr>
    <w:rPr>
      <w:rFonts w:ascii="Arial" w:hAnsi="Arial" w:cs="Arial"/>
      <w:color w:val="00000A"/>
      <w:sz w:val="20"/>
      <w:szCs w:val="20"/>
      <w:lang w:val="en-GB" w:eastAsia="en-US"/>
    </w:rPr>
  </w:style>
  <w:style w:type="paragraph" w:customStyle="1" w:styleId="12">
    <w:name w:val="Без інтервалів1"/>
    <w:qFormat/>
    <w:rsid w:val="00906FF7"/>
    <w:rPr>
      <w:color w:val="00000A"/>
      <w:sz w:val="22"/>
      <w:szCs w:val="22"/>
      <w:lang w:eastAsia="en-US"/>
    </w:rPr>
  </w:style>
  <w:style w:type="paragraph" w:styleId="ac">
    <w:name w:val="No Spacing"/>
    <w:uiPriority w:val="1"/>
    <w:qFormat/>
    <w:rsid w:val="00906FF7"/>
    <w:pPr>
      <w:suppressAutoHyphens/>
    </w:pPr>
    <w:rPr>
      <w:sz w:val="22"/>
      <w:szCs w:val="22"/>
      <w:lang w:eastAsia="zh-CN"/>
    </w:rPr>
  </w:style>
  <w:style w:type="paragraph" w:customStyle="1" w:styleId="Default">
    <w:name w:val="Default"/>
    <w:rsid w:val="00906FF7"/>
    <w:pPr>
      <w:suppressAutoHyphens/>
      <w:autoSpaceDE w:val="0"/>
    </w:pPr>
    <w:rPr>
      <w:rFonts w:ascii="Times New Roman" w:eastAsia="Times New Roman" w:hAnsi="Times New Roman"/>
      <w:color w:val="000000"/>
      <w:sz w:val="24"/>
      <w:szCs w:val="24"/>
      <w:lang w:eastAsia="ar-SA"/>
    </w:rPr>
  </w:style>
  <w:style w:type="paragraph" w:customStyle="1" w:styleId="13">
    <w:name w:val="Обычный1"/>
    <w:rsid w:val="00C7038E"/>
    <w:pPr>
      <w:widowControl w:val="0"/>
      <w:suppressAutoHyphens/>
      <w:spacing w:before="100" w:beforeAutospacing="1" w:after="100" w:afterAutospacing="1"/>
    </w:pPr>
    <w:rPr>
      <w:rFonts w:ascii="Times New Roman CYR" w:eastAsia="Times New Roman" w:hAnsi="Times New Roman CYR" w:cs="Times New Roman CYR"/>
      <w:sz w:val="24"/>
      <w:szCs w:val="24"/>
    </w:rPr>
  </w:style>
  <w:style w:type="paragraph" w:styleId="ad">
    <w:name w:val="Balloon Text"/>
    <w:basedOn w:val="a"/>
    <w:link w:val="ae"/>
    <w:uiPriority w:val="99"/>
    <w:semiHidden/>
    <w:unhideWhenUsed/>
    <w:rsid w:val="00253877"/>
    <w:rPr>
      <w:rFonts w:ascii="Segoe UI" w:hAnsi="Segoe UI" w:cs="Segoe UI"/>
      <w:sz w:val="18"/>
      <w:szCs w:val="18"/>
    </w:rPr>
  </w:style>
  <w:style w:type="character" w:customStyle="1" w:styleId="ae">
    <w:name w:val="Текст у виносці Знак"/>
    <w:basedOn w:val="a0"/>
    <w:link w:val="ad"/>
    <w:uiPriority w:val="99"/>
    <w:semiHidden/>
    <w:rsid w:val="00253877"/>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6227207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BDF3-5FEB-452E-BB89-95BD7071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 Windows</cp:lastModifiedBy>
  <cp:revision>3</cp:revision>
  <cp:lastPrinted>2023-06-06T10:20:00Z</cp:lastPrinted>
  <dcterms:created xsi:type="dcterms:W3CDTF">2023-06-06T09:17:00Z</dcterms:created>
  <dcterms:modified xsi:type="dcterms:W3CDTF">2023-06-06T10:28:00Z</dcterms:modified>
</cp:coreProperties>
</file>