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A" w:rsidRPr="00BA43A5" w:rsidRDefault="008A403A" w:rsidP="008A4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BA4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8A403A" w:rsidRPr="00BA43A5" w:rsidRDefault="008A403A" w:rsidP="008A4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A403A" w:rsidRPr="00BA43A5" w:rsidRDefault="008A403A" w:rsidP="008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A403A" w:rsidRPr="00BA43A5" w:rsidRDefault="008A403A" w:rsidP="008A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BA4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BA4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BA4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  <w:bookmarkStart w:id="0" w:name="_GoBack"/>
      <w:bookmarkEnd w:id="0"/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8A403A" w:rsidRPr="00BA43A5" w:rsidTr="00876268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BA43A5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BA43A5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03A" w:rsidRPr="00BA43A5" w:rsidRDefault="008A403A" w:rsidP="008762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A403A" w:rsidRPr="00BA43A5" w:rsidTr="00876268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BA43A5" w:rsidRDefault="008A403A" w:rsidP="0087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BA43A5" w:rsidRDefault="008A403A" w:rsidP="00876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BA43A5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 </w:t>
            </w: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в довільній формі, з інформацією про виконання  аналогічних за предметом закупівлі договорів  (не менше двох договорів).</w:t>
            </w:r>
          </w:p>
          <w:p w:rsidR="008A403A" w:rsidRPr="00BA43A5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A43A5">
              <w:t xml:space="preserve"> </w:t>
            </w:r>
            <w:r w:rsidRPr="00BA4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Аналогічним договором за предметом закупівлі є договір, за яким учасник  постачав  електричну  енергію  незалежно  від  того,  чи  включались послуги з передачі та/або розподіл.</w:t>
            </w:r>
          </w:p>
          <w:p w:rsidR="008A403A" w:rsidRPr="00BA43A5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 w:rsidR="008A403A" w:rsidRPr="00BA43A5" w:rsidRDefault="008A403A" w:rsidP="008A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договору, з </w:t>
            </w:r>
            <w:r w:rsidRPr="00B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документальним підтвердженням їх виконання (копіями актів приймання-передавання товару або видаткової накладної, або відгуку тощо</w:t>
            </w: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</w:tbl>
    <w:p w:rsidR="008A403A" w:rsidRPr="00BA43A5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A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A403A" w:rsidRPr="00BA43A5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A403A" w:rsidRPr="00BA43A5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A4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 w:rsidRPr="00BA43A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center"/>
            </w:pPr>
            <w:r w:rsidRPr="00BA43A5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8A403A" w:rsidRPr="00BA43A5" w:rsidRDefault="008A403A" w:rsidP="0087626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 w:rsidRPr="00BA43A5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center"/>
            </w:pPr>
            <w:r w:rsidRPr="00BA43A5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BA43A5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BA43A5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BA43A5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BA43A5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BA43A5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BA43A5">
              <w:rPr>
                <w:rStyle w:val="a3"/>
                <w:b/>
                <w:bCs/>
                <w:lang w:eastAsia="ru-RU"/>
              </w:rPr>
              <w:t xml:space="preserve">, </w:t>
            </w:r>
            <w:r w:rsidRPr="00BA43A5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BA43A5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</w:t>
            </w:r>
            <w:r w:rsidRPr="00BA43A5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“Про розгляд листа та надання роз’яснення” </w:t>
            </w:r>
            <w:r w:rsidRPr="00BA43A5">
              <w:rPr>
                <w:color w:val="000000"/>
              </w:rPr>
              <w:t xml:space="preserve">про те, що </w:t>
            </w:r>
            <w:r w:rsidRPr="00BA43A5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BA43A5">
              <w:rPr>
                <w:color w:val="000000"/>
              </w:rPr>
              <w:t>.</w:t>
            </w:r>
          </w:p>
          <w:p w:rsidR="008A403A" w:rsidRPr="00BA43A5" w:rsidRDefault="008A403A" w:rsidP="00876268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BA43A5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BA43A5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Pr="00BA43A5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BA43A5">
              <w:rPr>
                <w:rStyle w:val="a3"/>
                <w:b/>
                <w:bCs/>
                <w:lang w:eastAsia="ru-RU"/>
              </w:rPr>
              <w:t xml:space="preserve">, </w:t>
            </w:r>
            <w:r w:rsidRPr="00BA43A5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BA43A5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BA43A5">
              <w:rPr>
                <w:color w:val="000000"/>
              </w:rPr>
              <w:t xml:space="preserve"> про те, що </w:t>
            </w:r>
            <w:r w:rsidRPr="00BA43A5">
              <w:rPr>
                <w:color w:val="000000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</w:t>
            </w:r>
            <w:r w:rsidRPr="00BA43A5">
              <w:rPr>
                <w:color w:val="000000"/>
                <w:shd w:val="clear" w:color="auto" w:fill="FFFFFF"/>
              </w:rPr>
              <w:lastRenderedPageBreak/>
              <w:t>з корупцією.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8" w:anchor="n456" w:history="1">
              <w:r w:rsidRPr="00BA43A5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BA43A5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BA43A5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BA43A5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BA43A5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BA43A5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BA43A5">
              <w:rPr>
                <w:color w:val="000000"/>
              </w:rPr>
              <w:t>тридцятиденної</w:t>
            </w:r>
            <w:proofErr w:type="spellEnd"/>
            <w:r w:rsidRPr="00BA43A5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</w:t>
            </w:r>
            <w:r w:rsidRPr="00BA43A5">
              <w:rPr>
                <w:color w:val="000000"/>
                <w:shd w:val="clear" w:color="auto" w:fill="FFFFFF"/>
              </w:rPr>
              <w:lastRenderedPageBreak/>
              <w:t>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BA43A5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BA43A5">
              <w:rPr>
                <w:color w:val="000000"/>
              </w:rPr>
              <w:lastRenderedPageBreak/>
              <w:t>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BA43A5">
              <w:rPr>
                <w:lang w:val="uk-UA"/>
              </w:rPr>
              <w:t xml:space="preserve"> </w:t>
            </w: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</w:t>
            </w: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BA43A5">
              <w:rPr>
                <w:color w:val="000000"/>
              </w:rPr>
              <w:t>тридцятиденної</w:t>
            </w:r>
            <w:proofErr w:type="spellEnd"/>
            <w:r w:rsidRPr="00BA43A5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BA43A5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BA43A5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BA43A5">
              <w:rPr>
                <w:color w:val="000000"/>
              </w:rPr>
              <w:t>. 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BA43A5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BA43A5">
              <w:rPr>
                <w:color w:val="000000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A403A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лист або довідку або </w:t>
            </w:r>
            <w:r w:rsidRPr="00BA43A5">
              <w:rPr>
                <w:color w:val="000000"/>
              </w:rPr>
              <w:lastRenderedPageBreak/>
              <w:t>інший документ, виданий міжрегіональним управлінням Міністерства юстиції України або Міністерством юстиції України про те, що</w:t>
            </w:r>
            <w:r w:rsidRPr="00BA43A5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BA43A5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BA43A5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BA43A5">
              <w:rPr>
                <w:color w:val="000000"/>
              </w:rPr>
              <w:t>   в який містить інформацію про те, що</w:t>
            </w:r>
            <w:r w:rsidRPr="00BA43A5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</w:t>
            </w:r>
            <w:r w:rsidRPr="00BA43A5">
              <w:rPr>
                <w:color w:val="000000"/>
                <w:shd w:val="clear" w:color="auto" w:fill="FFFFFF"/>
              </w:rPr>
              <w:lastRenderedPageBreak/>
              <w:t>(послуг) або робіт дорівнює чи перевищує 20 мільйонів гривень (у тому числі за лотом) (</w:t>
            </w:r>
            <w:r w:rsidRPr="00BA43A5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BA43A5">
              <w:rPr>
                <w:i/>
                <w:iCs/>
                <w:color w:val="000000"/>
              </w:rPr>
              <w:t> </w:t>
            </w:r>
          </w:p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i/>
                <w:iCs/>
                <w:color w:val="000000"/>
              </w:rPr>
              <w:t xml:space="preserve">(лише якщо вартість </w:t>
            </w:r>
            <w:r w:rsidRPr="00BA43A5">
              <w:rPr>
                <w:i/>
                <w:iCs/>
                <w:color w:val="000000"/>
              </w:rPr>
              <w:lastRenderedPageBreak/>
              <w:t>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8A403A" w:rsidRPr="00BA43A5" w:rsidRDefault="008A403A" w:rsidP="0087626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8A403A" w:rsidRPr="00BA43A5" w:rsidRDefault="008A403A" w:rsidP="00876268"/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BA43A5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BA43A5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BA43A5">
              <w:rPr>
                <w:color w:val="000000"/>
              </w:rPr>
              <w:t>тридцятиденної</w:t>
            </w:r>
            <w:proofErr w:type="spellEnd"/>
            <w:r w:rsidRPr="00BA43A5">
              <w:rPr>
                <w:color w:val="000000"/>
              </w:rPr>
              <w:t xml:space="preserve"> давнини від дати видачі документа. </w:t>
            </w:r>
          </w:p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</w:t>
            </w:r>
            <w:r w:rsidRPr="00BA43A5">
              <w:rPr>
                <w:color w:val="000000"/>
                <w:shd w:val="clear" w:color="auto" w:fill="FFFFFF"/>
              </w:rPr>
              <w:lastRenderedPageBreak/>
              <w:t>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BA43A5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8A403A" w:rsidRPr="00BA43A5" w:rsidTr="0087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A43A5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8A403A" w:rsidRPr="00BA43A5" w:rsidRDefault="008A403A" w:rsidP="00876268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BA43A5"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</w:t>
            </w:r>
            <w:r w:rsidRPr="00BA43A5">
              <w:rPr>
                <w:color w:val="000000"/>
              </w:rPr>
              <w:lastRenderedPageBreak/>
              <w:t>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3A" w:rsidRPr="00BA43A5" w:rsidRDefault="008A403A" w:rsidP="00876268">
            <w:pPr>
              <w:pStyle w:val="a4"/>
              <w:spacing w:before="0" w:beforeAutospacing="0" w:after="160" w:afterAutospacing="0"/>
              <w:jc w:val="both"/>
            </w:pPr>
            <w:r w:rsidRPr="00BA43A5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8A403A" w:rsidRPr="00BA43A5" w:rsidRDefault="008A403A" w:rsidP="00876268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BA43A5"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</w:t>
            </w:r>
            <w:r w:rsidRPr="00BA43A5">
              <w:rPr>
                <w:color w:val="000000"/>
              </w:rPr>
              <w:lastRenderedPageBreak/>
              <w:t>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A403A" w:rsidRPr="00BA43A5" w:rsidRDefault="008A403A" w:rsidP="00876268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BA43A5">
              <w:rPr>
                <w:color w:val="000000"/>
              </w:rPr>
              <w:t>або </w:t>
            </w:r>
          </w:p>
          <w:p w:rsidR="008A403A" w:rsidRPr="00BA43A5" w:rsidRDefault="008A403A" w:rsidP="00876268">
            <w:pPr>
              <w:pStyle w:val="a4"/>
              <w:spacing w:before="0" w:beforeAutospacing="0" w:after="160" w:afterAutospacing="0" w:line="0" w:lineRule="atLeast"/>
              <w:jc w:val="both"/>
            </w:pPr>
            <w:r w:rsidRPr="00BA43A5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A403A" w:rsidRPr="00BA43A5" w:rsidRDefault="008A403A" w:rsidP="00876268">
            <w:pPr>
              <w:rPr>
                <w:lang w:val="uk-UA"/>
              </w:rPr>
            </w:pPr>
          </w:p>
          <w:p w:rsidR="008A403A" w:rsidRPr="00BA43A5" w:rsidRDefault="008A403A" w:rsidP="00876268">
            <w:pPr>
              <w:pStyle w:val="a4"/>
              <w:spacing w:before="0" w:beforeAutospacing="0" w:after="0" w:afterAutospacing="0"/>
              <w:jc w:val="both"/>
            </w:pPr>
            <w:r w:rsidRPr="00BA43A5">
              <w:rPr>
                <w:color w:val="000000"/>
              </w:rPr>
              <w:t>або</w:t>
            </w:r>
          </w:p>
          <w:p w:rsidR="008A403A" w:rsidRPr="00BA43A5" w:rsidRDefault="008A403A" w:rsidP="00876268">
            <w:pPr>
              <w:rPr>
                <w:lang w:val="uk-UA"/>
              </w:rPr>
            </w:pPr>
          </w:p>
          <w:p w:rsidR="008A403A" w:rsidRPr="00BA43A5" w:rsidRDefault="008A403A" w:rsidP="00876268">
            <w:pPr>
              <w:pStyle w:val="a4"/>
              <w:spacing w:before="0" w:beforeAutospacing="0" w:after="0" w:afterAutospacing="0" w:line="0" w:lineRule="atLeast"/>
              <w:jc w:val="both"/>
            </w:pPr>
            <w:r w:rsidRPr="00BA43A5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A403A" w:rsidRPr="00BA43A5" w:rsidRDefault="008A403A" w:rsidP="008A403A">
      <w:pPr>
        <w:jc w:val="both"/>
        <w:rPr>
          <w:lang w:val="uk-UA"/>
        </w:rPr>
      </w:pPr>
      <w:r w:rsidRPr="00BA4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8A403A" w:rsidRPr="00BA43A5" w:rsidRDefault="008A403A" w:rsidP="008A403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A4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8A403A" w:rsidRPr="00BA43A5" w:rsidTr="00876268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403A" w:rsidRPr="00BA43A5" w:rsidRDefault="008A403A" w:rsidP="008762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8A403A" w:rsidRPr="00BA43A5" w:rsidRDefault="008A403A" w:rsidP="008A403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8A403A" w:rsidRPr="00BA43A5" w:rsidTr="00876268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BA43A5" w:rsidRDefault="008A403A" w:rsidP="008762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BA43A5" w:rsidRDefault="008A403A" w:rsidP="008762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A403A" w:rsidRPr="00884840" w:rsidTr="00876268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BA43A5" w:rsidRDefault="008A403A" w:rsidP="0087626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A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03A" w:rsidRPr="00BA43A5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A403A" w:rsidRPr="00BA43A5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8A403A" w:rsidRPr="00BA43A5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8A403A" w:rsidRPr="00BA43A5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8A403A" w:rsidRPr="00BA43A5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8A403A" w:rsidRPr="00144BF7" w:rsidRDefault="008A403A" w:rsidP="0087626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3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B25671" w:rsidRPr="008A403A" w:rsidRDefault="00B25671">
      <w:pPr>
        <w:rPr>
          <w:lang w:val="uk-UA"/>
        </w:rPr>
      </w:pPr>
    </w:p>
    <w:sectPr w:rsidR="00B25671" w:rsidRPr="008A403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A"/>
    <w:rsid w:val="008A403A"/>
    <w:rsid w:val="00B25671"/>
    <w:rsid w:val="00B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A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A403A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8A40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0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A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A403A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8A40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0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2791</Words>
  <Characters>15911</Characters>
  <Application>Microsoft Office Word</Application>
  <DocSecurity>0</DocSecurity>
  <Lines>132</Lines>
  <Paragraphs>37</Paragraphs>
  <ScaleCrop>false</ScaleCrop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2</cp:revision>
  <dcterms:created xsi:type="dcterms:W3CDTF">2022-10-24T16:22:00Z</dcterms:created>
  <dcterms:modified xsi:type="dcterms:W3CDTF">2022-11-28T17:16:00Z</dcterms:modified>
</cp:coreProperties>
</file>