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863F30" w:rsidRPr="00190369">
              <w:rPr>
                <w:rFonts w:eastAsia="Calibri"/>
                <w:bCs/>
                <w:noProof/>
                <w:lang w:eastAsia="en-US"/>
              </w:rPr>
              <w:t>04</w:t>
            </w:r>
            <w:r w:rsidRPr="00A745D5">
              <w:rPr>
                <w:rFonts w:eastAsia="Calibri"/>
                <w:bCs/>
                <w:noProof/>
                <w:lang w:val="uk-UA" w:eastAsia="en-US"/>
              </w:rPr>
              <w:t xml:space="preserve">» </w:t>
            </w:r>
            <w:r w:rsidR="00863F30">
              <w:rPr>
                <w:rFonts w:eastAsia="Calibri"/>
                <w:bCs/>
                <w:noProof/>
                <w:lang w:val="uk-UA" w:eastAsia="en-US"/>
              </w:rPr>
              <w:t>квітня</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5F0AA2" w:rsidRDefault="002D1B82" w:rsidP="002D1B82">
            <w:pPr>
              <w:rPr>
                <w:rFonts w:eastAsia="Calibri"/>
                <w:bCs/>
                <w:noProof/>
                <w:lang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EA0C44">
              <w:rPr>
                <w:rFonts w:eastAsia="Calibri"/>
                <w:bCs/>
                <w:noProof/>
                <w:lang w:val="uk-UA" w:eastAsia="en-US"/>
              </w:rPr>
              <w:t>6</w:t>
            </w:r>
            <w:r w:rsidR="005F0AA2">
              <w:rPr>
                <w:rFonts w:eastAsia="Calibri"/>
                <w:bCs/>
                <w:noProof/>
                <w:lang w:val="uk-UA" w:eastAsia="en-US"/>
              </w:rPr>
              <w:t>4</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EA0C44" w:rsidRPr="00EA0C44">
        <w:rPr>
          <w:b/>
          <w:bCs/>
          <w:lang w:val="uk-UA"/>
        </w:rPr>
        <w:t>44310000-6 Вироби з дроту</w:t>
      </w:r>
      <w:r w:rsidR="00103752" w:rsidRPr="00A354F4">
        <w:rPr>
          <w:b/>
          <w:bCs/>
          <w:lang w:val="uk-UA"/>
        </w:rPr>
        <w:t xml:space="preserve"> (</w:t>
      </w:r>
      <w:r w:rsidR="00190369" w:rsidRPr="00190369">
        <w:rPr>
          <w:b/>
          <w:bCs/>
          <w:lang w:val="uk-UA"/>
        </w:rPr>
        <w:t>Електроди</w:t>
      </w:r>
      <w:r w:rsidR="00190369">
        <w:rPr>
          <w:b/>
          <w:bCs/>
          <w:lang w:val="uk-UA"/>
        </w:rPr>
        <w:t xml:space="preserve"> </w:t>
      </w:r>
      <w:r w:rsidR="00190369" w:rsidRPr="00190369">
        <w:rPr>
          <w:b/>
          <w:bCs/>
          <w:lang w:val="uk-UA"/>
        </w:rPr>
        <w:t>для зварювання рядових і відповідальних конструкцій з низьковуглецевих марок сталей</w:t>
      </w:r>
      <w:r w:rsidR="00103752" w:rsidRPr="00A354F4">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6505D3"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C52A59" w:rsidRPr="00C52A59">
              <w:rPr>
                <w:bCs/>
                <w:lang w:val="uk-UA"/>
              </w:rPr>
              <w:t>44310000-6 Вироби з дроту (Електроди для зварювання рядових і відповідальних конструкцій з низьковуглецевих марок сталей)</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3E4330" w:rsidP="00E40FE4">
            <w:pPr>
              <w:jc w:val="both"/>
              <w:rPr>
                <w:b/>
                <w:bCs/>
                <w:highlight w:val="yellow"/>
              </w:rPr>
            </w:pPr>
            <w:r w:rsidRPr="003E4330">
              <w:rPr>
                <w:lang w:val="uk-UA"/>
              </w:rPr>
              <w:t>Поставка Товару здійснюється партіями відповідно до потреби Покупця та за його окремими заявками протягом 5 (п’яти) робочих днів з моменту отримання заявки.</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6505D3"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6505D3"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6505D3"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C14FB7">
              <w:rPr>
                <w:lang w:val="uk-UA" w:eastAsia="en-US"/>
              </w:rPr>
              <w:t>12</w:t>
            </w:r>
            <w:r w:rsidR="004D0214" w:rsidRPr="00C01350">
              <w:rPr>
                <w:lang w:val="uk-UA" w:eastAsia="en-US"/>
              </w:rPr>
              <w:t>.</w:t>
            </w:r>
            <w:r w:rsidR="00DD6BF9" w:rsidRPr="00C01350">
              <w:rPr>
                <w:lang w:eastAsia="en-US"/>
              </w:rPr>
              <w:t>0</w:t>
            </w:r>
            <w:r w:rsidR="00C14FB7">
              <w:rPr>
                <w:lang w:val="uk-UA" w:eastAsia="en-US"/>
              </w:rPr>
              <w:t>4</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6505D3"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C14FB7">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F12F98" w:rsidRPr="00FC354F">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6505D3"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CA7715" w:rsidRDefault="00CA771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835B8E" w:rsidRDefault="00425029" w:rsidP="00835B8E">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Default="002B1D19" w:rsidP="002109E1">
      <w:pPr>
        <w:jc w:val="both"/>
        <w:rPr>
          <w:b/>
          <w:i/>
          <w:lang w:val="uk-UA"/>
        </w:rPr>
      </w:pPr>
      <w:r w:rsidRPr="002B1D19">
        <w:rPr>
          <w:b/>
          <w:i/>
          <w:lang w:val="uk-UA"/>
        </w:rPr>
        <w:t xml:space="preserve">Предмет закупівлі: </w:t>
      </w:r>
      <w:r w:rsidR="00714AF7" w:rsidRPr="00714AF7">
        <w:rPr>
          <w:b/>
          <w:i/>
          <w:lang w:val="uk-UA"/>
        </w:rPr>
        <w:t>Електроди для зварювання рядових і відповідальних конструкцій з низьковуглецевих марок сталей</w:t>
      </w:r>
      <w:r w:rsidRPr="00A47E5E">
        <w:rPr>
          <w:b/>
          <w:i/>
          <w:lang w:val="uk-UA"/>
        </w:rPr>
        <w:t xml:space="preserve"> </w:t>
      </w:r>
      <w:r w:rsidRPr="002B1D19">
        <w:rPr>
          <w:b/>
          <w:i/>
          <w:lang w:val="uk-UA"/>
        </w:rPr>
        <w:t xml:space="preserve">(ДК 021:2015 код – </w:t>
      </w:r>
      <w:r w:rsidR="00714AF7" w:rsidRPr="00714AF7">
        <w:rPr>
          <w:b/>
          <w:i/>
          <w:lang w:val="uk-UA"/>
        </w:rPr>
        <w:t>44310000-6 Вироби з дроту</w:t>
      </w:r>
      <w:r w:rsidRPr="002B1D19">
        <w:rPr>
          <w:b/>
          <w:i/>
          <w:lang w:val="uk-UA"/>
        </w:rPr>
        <w:t>)</w:t>
      </w:r>
    </w:p>
    <w:p w:rsidR="00F16A4C" w:rsidRPr="00C36CCB" w:rsidRDefault="00F16A4C" w:rsidP="00DA12C2">
      <w:pPr>
        <w:ind w:firstLine="708"/>
        <w:jc w:val="both"/>
        <w:rPr>
          <w:sz w:val="16"/>
          <w:szCs w:val="16"/>
          <w:lang w:val="uk-UA"/>
        </w:rPr>
      </w:pPr>
    </w:p>
    <w:tbl>
      <w:tblPr>
        <w:tblStyle w:val="ab"/>
        <w:tblW w:w="9918" w:type="dxa"/>
        <w:tblLook w:val="04A0" w:firstRow="1" w:lastRow="0" w:firstColumn="1" w:lastColumn="0" w:noHBand="0" w:noVBand="1"/>
      </w:tblPr>
      <w:tblGrid>
        <w:gridCol w:w="506"/>
        <w:gridCol w:w="2676"/>
        <w:gridCol w:w="917"/>
        <w:gridCol w:w="756"/>
        <w:gridCol w:w="5063"/>
      </w:tblGrid>
      <w:tr w:rsidR="00DF4850" w:rsidRPr="00F07944" w:rsidTr="00C257C2">
        <w:tc>
          <w:tcPr>
            <w:tcW w:w="506" w:type="dxa"/>
          </w:tcPr>
          <w:p w:rsidR="00DF4850" w:rsidRPr="00F07944" w:rsidRDefault="00DF4850" w:rsidP="00C257C2">
            <w:pPr>
              <w:pStyle w:val="afff4"/>
              <w:jc w:val="center"/>
              <w:rPr>
                <w:sz w:val="24"/>
                <w:szCs w:val="24"/>
              </w:rPr>
            </w:pPr>
            <w:r w:rsidRPr="00F07944">
              <w:rPr>
                <w:sz w:val="24"/>
                <w:szCs w:val="24"/>
              </w:rPr>
              <w:t>№</w:t>
            </w:r>
          </w:p>
          <w:p w:rsidR="00DF4850" w:rsidRPr="00F07944" w:rsidRDefault="00DF4850" w:rsidP="00C257C2">
            <w:pPr>
              <w:pStyle w:val="afff4"/>
              <w:jc w:val="center"/>
              <w:rPr>
                <w:sz w:val="24"/>
                <w:szCs w:val="24"/>
              </w:rPr>
            </w:pPr>
            <w:r w:rsidRPr="00F07944">
              <w:rPr>
                <w:sz w:val="24"/>
                <w:szCs w:val="24"/>
              </w:rPr>
              <w:t>з/п</w:t>
            </w:r>
          </w:p>
        </w:tc>
        <w:tc>
          <w:tcPr>
            <w:tcW w:w="2676" w:type="dxa"/>
          </w:tcPr>
          <w:p w:rsidR="00DF4850" w:rsidRPr="00F07944" w:rsidRDefault="00DF4850" w:rsidP="00C257C2">
            <w:pPr>
              <w:pStyle w:val="afff4"/>
              <w:jc w:val="center"/>
              <w:rPr>
                <w:sz w:val="24"/>
                <w:szCs w:val="24"/>
              </w:rPr>
            </w:pPr>
            <w:r w:rsidRPr="00F07944">
              <w:rPr>
                <w:sz w:val="24"/>
                <w:szCs w:val="24"/>
              </w:rPr>
              <w:t>Найменування</w:t>
            </w:r>
          </w:p>
        </w:tc>
        <w:tc>
          <w:tcPr>
            <w:tcW w:w="917" w:type="dxa"/>
          </w:tcPr>
          <w:p w:rsidR="00DF4850" w:rsidRPr="00F07944" w:rsidRDefault="00DF4850" w:rsidP="00C257C2">
            <w:pPr>
              <w:pStyle w:val="afff4"/>
              <w:jc w:val="center"/>
              <w:rPr>
                <w:sz w:val="24"/>
                <w:szCs w:val="24"/>
              </w:rPr>
            </w:pPr>
            <w:r w:rsidRPr="00F07944">
              <w:rPr>
                <w:sz w:val="24"/>
                <w:szCs w:val="24"/>
              </w:rPr>
              <w:t>Один. виміру</w:t>
            </w:r>
          </w:p>
        </w:tc>
        <w:tc>
          <w:tcPr>
            <w:tcW w:w="756" w:type="dxa"/>
          </w:tcPr>
          <w:p w:rsidR="00DF4850" w:rsidRPr="00F07944" w:rsidRDefault="00DF4850" w:rsidP="00C257C2">
            <w:pPr>
              <w:pStyle w:val="afff4"/>
              <w:jc w:val="center"/>
              <w:rPr>
                <w:b/>
                <w:sz w:val="24"/>
                <w:szCs w:val="24"/>
              </w:rPr>
            </w:pPr>
            <w:r w:rsidRPr="00F07944">
              <w:rPr>
                <w:b/>
                <w:sz w:val="24"/>
                <w:szCs w:val="24"/>
              </w:rPr>
              <w:t>К</w:t>
            </w:r>
            <w:r>
              <w:rPr>
                <w:b/>
                <w:sz w:val="24"/>
                <w:szCs w:val="24"/>
              </w:rPr>
              <w:t>-</w:t>
            </w:r>
            <w:r w:rsidRPr="00F07944">
              <w:rPr>
                <w:b/>
                <w:sz w:val="24"/>
                <w:szCs w:val="24"/>
              </w:rPr>
              <w:t>ть</w:t>
            </w:r>
          </w:p>
          <w:p w:rsidR="00DF4850" w:rsidRPr="00F07944" w:rsidRDefault="00DF4850" w:rsidP="00C257C2">
            <w:pPr>
              <w:pStyle w:val="afff4"/>
              <w:jc w:val="center"/>
              <w:rPr>
                <w:sz w:val="24"/>
                <w:szCs w:val="24"/>
              </w:rPr>
            </w:pPr>
          </w:p>
        </w:tc>
        <w:tc>
          <w:tcPr>
            <w:tcW w:w="5063" w:type="dxa"/>
          </w:tcPr>
          <w:p w:rsidR="00DF4850" w:rsidRPr="00F07944" w:rsidRDefault="00DF4850" w:rsidP="00C257C2">
            <w:pPr>
              <w:pStyle w:val="afff4"/>
              <w:jc w:val="center"/>
              <w:rPr>
                <w:b/>
                <w:sz w:val="24"/>
                <w:szCs w:val="24"/>
              </w:rPr>
            </w:pPr>
            <w:r w:rsidRPr="00F07944">
              <w:rPr>
                <w:b/>
                <w:sz w:val="24"/>
                <w:szCs w:val="24"/>
              </w:rPr>
              <w:t>Примітка</w:t>
            </w:r>
          </w:p>
          <w:p w:rsidR="00DF4850" w:rsidRPr="00F07944" w:rsidRDefault="00DF4850" w:rsidP="00C257C2">
            <w:pPr>
              <w:pStyle w:val="afff4"/>
              <w:jc w:val="center"/>
              <w:rPr>
                <w:sz w:val="24"/>
                <w:szCs w:val="24"/>
              </w:rPr>
            </w:pPr>
          </w:p>
        </w:tc>
      </w:tr>
      <w:tr w:rsidR="00DF4850" w:rsidRPr="00F07944" w:rsidTr="00C257C2">
        <w:tc>
          <w:tcPr>
            <w:tcW w:w="506" w:type="dxa"/>
            <w:vAlign w:val="center"/>
          </w:tcPr>
          <w:p w:rsidR="00DF4850" w:rsidRPr="00F07944" w:rsidRDefault="00DF4850" w:rsidP="00C257C2">
            <w:pPr>
              <w:pStyle w:val="afff4"/>
              <w:jc w:val="center"/>
              <w:rPr>
                <w:sz w:val="24"/>
                <w:szCs w:val="24"/>
              </w:rPr>
            </w:pPr>
            <w:r>
              <w:rPr>
                <w:sz w:val="24"/>
                <w:szCs w:val="24"/>
              </w:rPr>
              <w:t>1</w:t>
            </w:r>
          </w:p>
        </w:tc>
        <w:tc>
          <w:tcPr>
            <w:tcW w:w="2676" w:type="dxa"/>
          </w:tcPr>
          <w:p w:rsidR="00DF4850" w:rsidRPr="00852A49" w:rsidRDefault="00DF4850" w:rsidP="00C257C2">
            <w:pPr>
              <w:pStyle w:val="afff4"/>
              <w:rPr>
                <w:sz w:val="24"/>
                <w:szCs w:val="24"/>
                <w:lang w:val="ru-RU"/>
              </w:rPr>
            </w:pPr>
            <w:r w:rsidRPr="00852A49">
              <w:rPr>
                <w:sz w:val="24"/>
                <w:szCs w:val="24"/>
                <w:lang w:val="ru-RU"/>
              </w:rPr>
              <w:t>Електроди Ø 2 мм для зварювання рядових і відповідальних конструкцій з низьковуглецевих марок сталей</w:t>
            </w:r>
          </w:p>
        </w:tc>
        <w:tc>
          <w:tcPr>
            <w:tcW w:w="917" w:type="dxa"/>
            <w:vAlign w:val="center"/>
          </w:tcPr>
          <w:p w:rsidR="00DF4850" w:rsidRPr="00F07944" w:rsidRDefault="00DF4850" w:rsidP="00C257C2">
            <w:pPr>
              <w:pStyle w:val="afff4"/>
              <w:jc w:val="center"/>
              <w:rPr>
                <w:sz w:val="24"/>
                <w:szCs w:val="24"/>
              </w:rPr>
            </w:pPr>
            <w:r w:rsidRPr="00F07944">
              <w:rPr>
                <w:sz w:val="24"/>
                <w:szCs w:val="24"/>
              </w:rPr>
              <w:t>т</w:t>
            </w:r>
          </w:p>
        </w:tc>
        <w:tc>
          <w:tcPr>
            <w:tcW w:w="756" w:type="dxa"/>
            <w:vAlign w:val="center"/>
          </w:tcPr>
          <w:p w:rsidR="00DF4850" w:rsidRPr="00F07944" w:rsidRDefault="00DF4850" w:rsidP="00C257C2">
            <w:pPr>
              <w:pStyle w:val="afff4"/>
              <w:jc w:val="center"/>
              <w:rPr>
                <w:b/>
                <w:sz w:val="24"/>
                <w:szCs w:val="24"/>
              </w:rPr>
            </w:pPr>
            <w:r w:rsidRPr="00F07944">
              <w:rPr>
                <w:b/>
                <w:sz w:val="24"/>
                <w:szCs w:val="24"/>
              </w:rPr>
              <w:t>0,020</w:t>
            </w:r>
          </w:p>
        </w:tc>
        <w:tc>
          <w:tcPr>
            <w:tcW w:w="5063" w:type="dxa"/>
            <w:vMerge w:val="restart"/>
          </w:tcPr>
          <w:p w:rsidR="00DF4850" w:rsidRPr="003E4330" w:rsidRDefault="00DF4850" w:rsidP="00C257C2">
            <w:pPr>
              <w:pStyle w:val="afff4"/>
              <w:jc w:val="center"/>
              <w:rPr>
                <w:sz w:val="24"/>
                <w:szCs w:val="24"/>
              </w:rPr>
            </w:pPr>
            <w:r w:rsidRPr="00852A49">
              <w:rPr>
                <w:sz w:val="24"/>
                <w:szCs w:val="24"/>
                <w:lang w:val="ru-RU"/>
              </w:rPr>
              <w:t>Вимоги</w:t>
            </w:r>
            <w:r w:rsidRPr="003E4330">
              <w:rPr>
                <w:sz w:val="24"/>
                <w:szCs w:val="24"/>
              </w:rPr>
              <w:t xml:space="preserve">: </w:t>
            </w:r>
          </w:p>
          <w:p w:rsidR="00DF4850" w:rsidRPr="003E4330" w:rsidRDefault="00DF4850" w:rsidP="00C257C2">
            <w:pPr>
              <w:pStyle w:val="afff4"/>
              <w:jc w:val="center"/>
              <w:rPr>
                <w:sz w:val="24"/>
                <w:szCs w:val="24"/>
              </w:rPr>
            </w:pPr>
            <w:r w:rsidRPr="00852A49">
              <w:rPr>
                <w:sz w:val="24"/>
                <w:szCs w:val="24"/>
                <w:lang w:val="ru-RU"/>
              </w:rPr>
              <w:t>Стандарт</w:t>
            </w:r>
            <w:r w:rsidRPr="003E4330">
              <w:rPr>
                <w:sz w:val="24"/>
                <w:szCs w:val="24"/>
              </w:rPr>
              <w:t>/</w:t>
            </w:r>
            <w:r w:rsidRPr="00852A49">
              <w:rPr>
                <w:sz w:val="24"/>
                <w:szCs w:val="24"/>
                <w:lang w:val="ru-RU"/>
              </w:rPr>
              <w:t>Класифікація</w:t>
            </w:r>
            <w:r w:rsidRPr="003E4330">
              <w:rPr>
                <w:sz w:val="24"/>
                <w:szCs w:val="24"/>
              </w:rPr>
              <w:t xml:space="preserve">: </w:t>
            </w:r>
          </w:p>
          <w:p w:rsidR="00DF4850" w:rsidRPr="003E4330" w:rsidRDefault="00DF4850" w:rsidP="00C257C2">
            <w:pPr>
              <w:pStyle w:val="afff4"/>
              <w:jc w:val="center"/>
              <w:rPr>
                <w:sz w:val="24"/>
                <w:szCs w:val="24"/>
              </w:rPr>
            </w:pPr>
            <w:r w:rsidRPr="00F07944">
              <w:rPr>
                <w:sz w:val="24"/>
                <w:szCs w:val="24"/>
              </w:rPr>
              <w:t>AWS</w:t>
            </w:r>
            <w:r w:rsidRPr="003E4330">
              <w:rPr>
                <w:sz w:val="24"/>
                <w:szCs w:val="24"/>
              </w:rPr>
              <w:t xml:space="preserve"> </w:t>
            </w:r>
            <w:r w:rsidRPr="00F07944">
              <w:rPr>
                <w:sz w:val="24"/>
                <w:szCs w:val="24"/>
              </w:rPr>
              <w:t>A</w:t>
            </w:r>
            <w:r w:rsidRPr="003E4330">
              <w:rPr>
                <w:sz w:val="24"/>
                <w:szCs w:val="24"/>
              </w:rPr>
              <w:t>5.</w:t>
            </w:r>
            <w:proofErr w:type="gramStart"/>
            <w:r w:rsidRPr="003E4330">
              <w:rPr>
                <w:sz w:val="24"/>
                <w:szCs w:val="24"/>
              </w:rPr>
              <w:t>1:</w:t>
            </w:r>
            <w:r w:rsidRPr="00F07944">
              <w:rPr>
                <w:sz w:val="24"/>
                <w:szCs w:val="24"/>
              </w:rPr>
              <w:t>E</w:t>
            </w:r>
            <w:proofErr w:type="gramEnd"/>
            <w:r w:rsidRPr="003E4330">
              <w:rPr>
                <w:sz w:val="24"/>
                <w:szCs w:val="24"/>
              </w:rPr>
              <w:t xml:space="preserve">6013, </w:t>
            </w:r>
          </w:p>
          <w:p w:rsidR="00DF4850" w:rsidRPr="00F07944" w:rsidRDefault="00DF4850" w:rsidP="00C257C2">
            <w:pPr>
              <w:pStyle w:val="afff4"/>
              <w:jc w:val="center"/>
              <w:rPr>
                <w:sz w:val="24"/>
                <w:szCs w:val="24"/>
              </w:rPr>
            </w:pPr>
            <w:r w:rsidRPr="00F07944">
              <w:rPr>
                <w:sz w:val="24"/>
                <w:szCs w:val="24"/>
              </w:rPr>
              <w:t>ДСТУ EN ISO 2560-A-E 42 0 RC 1 1.</w:t>
            </w:r>
          </w:p>
          <w:p w:rsidR="00DF4850" w:rsidRDefault="00DF4850" w:rsidP="00C257C2">
            <w:pPr>
              <w:pStyle w:val="afff4"/>
              <w:jc w:val="center"/>
              <w:rPr>
                <w:sz w:val="24"/>
                <w:szCs w:val="24"/>
              </w:rPr>
            </w:pPr>
          </w:p>
          <w:p w:rsidR="00DF4850" w:rsidRPr="00852A49" w:rsidRDefault="00DF4850" w:rsidP="00C257C2">
            <w:pPr>
              <w:pStyle w:val="afff4"/>
              <w:jc w:val="center"/>
              <w:rPr>
                <w:sz w:val="24"/>
                <w:szCs w:val="24"/>
                <w:lang w:val="ru-RU"/>
              </w:rPr>
            </w:pPr>
            <w:r w:rsidRPr="00852A49">
              <w:rPr>
                <w:sz w:val="24"/>
                <w:szCs w:val="24"/>
                <w:lang w:val="ru-RU"/>
              </w:rPr>
              <w:t>Механічні властивості наплавленого металу</w:t>
            </w:r>
            <w:r>
              <w:rPr>
                <w:sz w:val="24"/>
                <w:szCs w:val="24"/>
                <w:lang w:val="uk-UA"/>
              </w:rPr>
              <w:t>:</w:t>
            </w:r>
            <w:r w:rsidRPr="00852A49">
              <w:rPr>
                <w:sz w:val="24"/>
                <w:szCs w:val="24"/>
                <w:lang w:val="ru-RU"/>
              </w:rPr>
              <w:t xml:space="preserve"> Тимчасовий опір, МПа (Н/мм</w:t>
            </w:r>
            <w:r w:rsidRPr="00852A49">
              <w:rPr>
                <w:sz w:val="24"/>
                <w:szCs w:val="24"/>
                <w:vertAlign w:val="superscript"/>
                <w:lang w:val="ru-RU"/>
              </w:rPr>
              <w:t>2</w:t>
            </w:r>
            <w:r w:rsidRPr="00852A49">
              <w:rPr>
                <w:sz w:val="24"/>
                <w:szCs w:val="24"/>
                <w:lang w:val="ru-RU"/>
              </w:rPr>
              <w:t>): 500-640;</w:t>
            </w:r>
          </w:p>
          <w:p w:rsidR="00DF4850" w:rsidRPr="00852A49" w:rsidRDefault="00DF4850" w:rsidP="00C257C2">
            <w:pPr>
              <w:pStyle w:val="afff4"/>
              <w:jc w:val="center"/>
              <w:rPr>
                <w:sz w:val="24"/>
                <w:szCs w:val="24"/>
                <w:lang w:val="ru-RU"/>
              </w:rPr>
            </w:pPr>
            <w:r w:rsidRPr="00852A49">
              <w:rPr>
                <w:sz w:val="24"/>
                <w:szCs w:val="24"/>
                <w:lang w:val="ru-RU"/>
              </w:rPr>
              <w:t>Відносне видовження, %: ≥20;</w:t>
            </w:r>
          </w:p>
          <w:p w:rsidR="00DF4850" w:rsidRPr="00852A49" w:rsidRDefault="00DF4850" w:rsidP="00C257C2">
            <w:pPr>
              <w:pStyle w:val="afff4"/>
              <w:jc w:val="center"/>
              <w:rPr>
                <w:sz w:val="24"/>
                <w:szCs w:val="24"/>
                <w:lang w:val="ru-RU"/>
              </w:rPr>
            </w:pPr>
            <w:r w:rsidRPr="00852A49">
              <w:rPr>
                <w:sz w:val="24"/>
                <w:szCs w:val="24"/>
                <w:lang w:val="ru-RU"/>
              </w:rPr>
              <w:t>Границя плинності, МПа (Н/мм</w:t>
            </w:r>
            <w:r w:rsidRPr="00852A49">
              <w:rPr>
                <w:sz w:val="24"/>
                <w:szCs w:val="24"/>
                <w:vertAlign w:val="superscript"/>
                <w:lang w:val="ru-RU"/>
              </w:rPr>
              <w:t>2</w:t>
            </w:r>
            <w:r w:rsidRPr="00852A49">
              <w:rPr>
                <w:sz w:val="24"/>
                <w:szCs w:val="24"/>
                <w:lang w:val="ru-RU"/>
              </w:rPr>
              <w:t>): ≥420;</w:t>
            </w:r>
          </w:p>
          <w:p w:rsidR="00DF4850" w:rsidRPr="00852A49" w:rsidRDefault="00DF4850" w:rsidP="00C257C2">
            <w:pPr>
              <w:pStyle w:val="afff4"/>
              <w:jc w:val="center"/>
              <w:rPr>
                <w:sz w:val="24"/>
                <w:szCs w:val="24"/>
                <w:lang w:val="ru-RU"/>
              </w:rPr>
            </w:pPr>
            <w:r w:rsidRPr="00852A49">
              <w:rPr>
                <w:sz w:val="24"/>
                <w:szCs w:val="24"/>
                <w:lang w:val="ru-RU"/>
              </w:rPr>
              <w:t xml:space="preserve">Енергія поглиненого удару </w:t>
            </w:r>
            <w:r w:rsidRPr="0017084E">
              <w:rPr>
                <w:sz w:val="24"/>
                <w:szCs w:val="24"/>
                <w:lang w:val="ru-RU"/>
              </w:rPr>
              <w:t>(</w:t>
            </w:r>
            <w:r>
              <w:rPr>
                <w:sz w:val="24"/>
                <w:szCs w:val="24"/>
              </w:rPr>
              <w:t>KV</w:t>
            </w:r>
            <w:r w:rsidRPr="0017084E">
              <w:rPr>
                <w:sz w:val="24"/>
                <w:szCs w:val="24"/>
                <w:lang w:val="ru-RU"/>
              </w:rPr>
              <w:t>)</w:t>
            </w:r>
            <w:r w:rsidRPr="00852A49">
              <w:rPr>
                <w:sz w:val="24"/>
                <w:szCs w:val="24"/>
                <w:lang w:val="ru-RU"/>
              </w:rPr>
              <w:t>, Дж 0</w:t>
            </w:r>
            <w:r w:rsidRPr="00852A49">
              <w:rPr>
                <w:sz w:val="24"/>
                <w:szCs w:val="24"/>
                <w:vertAlign w:val="superscript"/>
                <w:lang w:val="ru-RU"/>
              </w:rPr>
              <w:t>о</w:t>
            </w:r>
            <w:r w:rsidRPr="00852A49">
              <w:rPr>
                <w:sz w:val="24"/>
                <w:szCs w:val="24"/>
                <w:lang w:val="ru-RU"/>
              </w:rPr>
              <w:t>С: ≥47;</w:t>
            </w:r>
          </w:p>
          <w:p w:rsidR="00DF4850" w:rsidRPr="00852A49" w:rsidRDefault="00DF4850" w:rsidP="00C257C2">
            <w:pPr>
              <w:pStyle w:val="afff4"/>
              <w:jc w:val="center"/>
              <w:rPr>
                <w:sz w:val="24"/>
                <w:szCs w:val="24"/>
                <w:lang w:val="ru-RU"/>
              </w:rPr>
            </w:pPr>
          </w:p>
          <w:p w:rsidR="00DF4850" w:rsidRPr="00852A49" w:rsidRDefault="00DF4850" w:rsidP="00C257C2">
            <w:pPr>
              <w:pStyle w:val="afff4"/>
              <w:jc w:val="center"/>
              <w:rPr>
                <w:sz w:val="24"/>
                <w:szCs w:val="24"/>
                <w:lang w:val="ru-RU"/>
              </w:rPr>
            </w:pPr>
            <w:r w:rsidRPr="00852A49">
              <w:rPr>
                <w:sz w:val="24"/>
                <w:szCs w:val="24"/>
                <w:lang w:val="ru-RU"/>
              </w:rPr>
              <w:t>Хімічний аналіз н</w:t>
            </w:r>
            <w:r>
              <w:rPr>
                <w:sz w:val="24"/>
                <w:szCs w:val="24"/>
                <w:lang w:val="ru-RU"/>
              </w:rPr>
              <w:t>аплавленого металу, %:</w:t>
            </w:r>
          </w:p>
          <w:p w:rsidR="00DF4850" w:rsidRPr="00852A49" w:rsidRDefault="00DF4850" w:rsidP="00C257C2">
            <w:pPr>
              <w:pStyle w:val="afff4"/>
              <w:jc w:val="center"/>
              <w:rPr>
                <w:sz w:val="24"/>
                <w:szCs w:val="24"/>
                <w:lang w:val="ru-RU"/>
              </w:rPr>
            </w:pPr>
            <w:r w:rsidRPr="00852A49">
              <w:rPr>
                <w:sz w:val="24"/>
                <w:szCs w:val="24"/>
                <w:lang w:val="ru-RU"/>
              </w:rPr>
              <w:t>Карбон «С»: ≤ 0,11;</w:t>
            </w:r>
          </w:p>
          <w:p w:rsidR="00DF4850" w:rsidRPr="00852A49" w:rsidRDefault="00DF4850" w:rsidP="00C257C2">
            <w:pPr>
              <w:pStyle w:val="afff4"/>
              <w:jc w:val="center"/>
              <w:rPr>
                <w:sz w:val="24"/>
                <w:szCs w:val="24"/>
                <w:lang w:val="ru-RU"/>
              </w:rPr>
            </w:pPr>
            <w:r w:rsidRPr="00852A49">
              <w:rPr>
                <w:sz w:val="24"/>
                <w:szCs w:val="24"/>
                <w:lang w:val="ru-RU"/>
              </w:rPr>
              <w:t>Кремній/силіцій: «</w:t>
            </w:r>
            <w:r>
              <w:rPr>
                <w:sz w:val="24"/>
                <w:szCs w:val="24"/>
              </w:rPr>
              <w:t>Si</w:t>
            </w:r>
            <w:r w:rsidRPr="00852A49">
              <w:rPr>
                <w:sz w:val="24"/>
                <w:szCs w:val="24"/>
                <w:lang w:val="ru-RU"/>
              </w:rPr>
              <w:t>»: 0,15 - 0,40;</w:t>
            </w:r>
          </w:p>
          <w:p w:rsidR="00DF4850" w:rsidRPr="00852A49" w:rsidRDefault="00DF4850" w:rsidP="00C257C2">
            <w:pPr>
              <w:pStyle w:val="afff4"/>
              <w:jc w:val="center"/>
              <w:rPr>
                <w:sz w:val="24"/>
                <w:szCs w:val="24"/>
                <w:lang w:val="ru-RU"/>
              </w:rPr>
            </w:pPr>
            <w:r w:rsidRPr="00852A49">
              <w:rPr>
                <w:sz w:val="24"/>
                <w:szCs w:val="24"/>
                <w:lang w:val="ru-RU"/>
              </w:rPr>
              <w:t>Манган «</w:t>
            </w:r>
            <w:r>
              <w:rPr>
                <w:sz w:val="24"/>
                <w:szCs w:val="24"/>
              </w:rPr>
              <w:t>Mn</w:t>
            </w:r>
            <w:r w:rsidRPr="00852A49">
              <w:rPr>
                <w:sz w:val="24"/>
                <w:szCs w:val="24"/>
                <w:lang w:val="ru-RU"/>
              </w:rPr>
              <w:t>»: 0,40 - 0,65;</w:t>
            </w:r>
          </w:p>
          <w:p w:rsidR="00DF4850" w:rsidRPr="00852A49" w:rsidRDefault="00DF4850" w:rsidP="00C257C2">
            <w:pPr>
              <w:pStyle w:val="afff4"/>
              <w:jc w:val="center"/>
              <w:rPr>
                <w:sz w:val="24"/>
                <w:szCs w:val="24"/>
                <w:lang w:val="ru-RU"/>
              </w:rPr>
            </w:pPr>
            <w:r w:rsidRPr="00852A49">
              <w:rPr>
                <w:sz w:val="24"/>
                <w:szCs w:val="24"/>
                <w:lang w:val="ru-RU"/>
              </w:rPr>
              <w:t>Фосфор «</w:t>
            </w:r>
            <w:r>
              <w:rPr>
                <w:sz w:val="24"/>
                <w:szCs w:val="24"/>
              </w:rPr>
              <w:t>P</w:t>
            </w:r>
            <w:r w:rsidRPr="00852A49">
              <w:rPr>
                <w:sz w:val="24"/>
                <w:szCs w:val="24"/>
                <w:lang w:val="ru-RU"/>
              </w:rPr>
              <w:t>»: ≤0,035;</w:t>
            </w:r>
          </w:p>
          <w:p w:rsidR="00DF4850" w:rsidRPr="00852A49" w:rsidRDefault="00DF4850" w:rsidP="00C257C2">
            <w:pPr>
              <w:pStyle w:val="afff4"/>
              <w:jc w:val="center"/>
              <w:rPr>
                <w:sz w:val="24"/>
                <w:szCs w:val="24"/>
                <w:lang w:val="ru-RU"/>
              </w:rPr>
            </w:pPr>
            <w:r w:rsidRPr="00852A49">
              <w:rPr>
                <w:sz w:val="24"/>
                <w:szCs w:val="24"/>
                <w:lang w:val="ru-RU"/>
              </w:rPr>
              <w:t>Сульфур «</w:t>
            </w:r>
            <w:r>
              <w:rPr>
                <w:sz w:val="24"/>
                <w:szCs w:val="24"/>
              </w:rPr>
              <w:t>S</w:t>
            </w:r>
            <w:r w:rsidRPr="00852A49">
              <w:rPr>
                <w:sz w:val="24"/>
                <w:szCs w:val="24"/>
                <w:lang w:val="ru-RU"/>
              </w:rPr>
              <w:t>»: ≤0.03.</w:t>
            </w:r>
          </w:p>
          <w:p w:rsidR="00DF4850" w:rsidRPr="00852A49" w:rsidRDefault="00DF4850" w:rsidP="00C257C2">
            <w:pPr>
              <w:pStyle w:val="afff4"/>
              <w:jc w:val="center"/>
              <w:rPr>
                <w:sz w:val="24"/>
                <w:szCs w:val="24"/>
                <w:lang w:val="ru-RU"/>
              </w:rPr>
            </w:pPr>
          </w:p>
        </w:tc>
      </w:tr>
      <w:tr w:rsidR="00DF4850" w:rsidRPr="00F07944" w:rsidTr="00C257C2">
        <w:tc>
          <w:tcPr>
            <w:tcW w:w="506" w:type="dxa"/>
            <w:vAlign w:val="center"/>
          </w:tcPr>
          <w:p w:rsidR="00DF4850" w:rsidRPr="00F07944" w:rsidRDefault="00DF4850" w:rsidP="00C257C2">
            <w:pPr>
              <w:pStyle w:val="afff4"/>
              <w:jc w:val="center"/>
              <w:rPr>
                <w:sz w:val="24"/>
                <w:szCs w:val="24"/>
              </w:rPr>
            </w:pPr>
            <w:r>
              <w:rPr>
                <w:sz w:val="24"/>
                <w:szCs w:val="24"/>
              </w:rPr>
              <w:t>2</w:t>
            </w:r>
          </w:p>
        </w:tc>
        <w:tc>
          <w:tcPr>
            <w:tcW w:w="2676" w:type="dxa"/>
          </w:tcPr>
          <w:p w:rsidR="00DF4850" w:rsidRPr="00852A49" w:rsidRDefault="00DF4850" w:rsidP="00C257C2">
            <w:pPr>
              <w:pStyle w:val="afff4"/>
              <w:rPr>
                <w:sz w:val="24"/>
                <w:szCs w:val="24"/>
                <w:lang w:val="ru-RU"/>
              </w:rPr>
            </w:pPr>
            <w:r w:rsidRPr="00852A49">
              <w:rPr>
                <w:sz w:val="24"/>
                <w:szCs w:val="24"/>
                <w:lang w:val="ru-RU"/>
              </w:rPr>
              <w:t>Електроди Ø 3 мм для зварювання рядових і відповідальних конструкцій з низьковуглецевих марок сталей</w:t>
            </w:r>
          </w:p>
        </w:tc>
        <w:tc>
          <w:tcPr>
            <w:tcW w:w="917" w:type="dxa"/>
            <w:vAlign w:val="center"/>
          </w:tcPr>
          <w:p w:rsidR="00DF4850" w:rsidRPr="00F07944" w:rsidRDefault="00DF4850" w:rsidP="00C257C2">
            <w:pPr>
              <w:pStyle w:val="afff4"/>
              <w:jc w:val="center"/>
              <w:rPr>
                <w:sz w:val="24"/>
                <w:szCs w:val="24"/>
              </w:rPr>
            </w:pPr>
            <w:r w:rsidRPr="00F07944">
              <w:rPr>
                <w:sz w:val="24"/>
                <w:szCs w:val="24"/>
              </w:rPr>
              <w:t>т</w:t>
            </w:r>
          </w:p>
        </w:tc>
        <w:tc>
          <w:tcPr>
            <w:tcW w:w="756" w:type="dxa"/>
            <w:vAlign w:val="center"/>
          </w:tcPr>
          <w:p w:rsidR="00DF4850" w:rsidRPr="00F07944" w:rsidRDefault="00DF4850" w:rsidP="00C257C2">
            <w:pPr>
              <w:pStyle w:val="afff4"/>
              <w:jc w:val="center"/>
              <w:rPr>
                <w:b/>
                <w:sz w:val="24"/>
                <w:szCs w:val="24"/>
              </w:rPr>
            </w:pPr>
            <w:r w:rsidRPr="00F07944">
              <w:rPr>
                <w:b/>
                <w:sz w:val="24"/>
                <w:szCs w:val="24"/>
              </w:rPr>
              <w:t>0,600</w:t>
            </w:r>
          </w:p>
        </w:tc>
        <w:tc>
          <w:tcPr>
            <w:tcW w:w="5063" w:type="dxa"/>
            <w:vMerge/>
          </w:tcPr>
          <w:p w:rsidR="00DF4850" w:rsidRPr="00F07944" w:rsidRDefault="00DF4850" w:rsidP="00C257C2">
            <w:pPr>
              <w:pStyle w:val="afff4"/>
              <w:jc w:val="center"/>
              <w:rPr>
                <w:sz w:val="24"/>
                <w:szCs w:val="24"/>
              </w:rPr>
            </w:pPr>
          </w:p>
        </w:tc>
      </w:tr>
      <w:tr w:rsidR="00DF4850" w:rsidRPr="00F07944" w:rsidTr="00C257C2">
        <w:trPr>
          <w:trHeight w:val="1677"/>
        </w:trPr>
        <w:tc>
          <w:tcPr>
            <w:tcW w:w="506" w:type="dxa"/>
            <w:vAlign w:val="center"/>
          </w:tcPr>
          <w:p w:rsidR="00DF4850" w:rsidRPr="00F07944" w:rsidRDefault="00DF4850" w:rsidP="00C257C2">
            <w:pPr>
              <w:pStyle w:val="afff4"/>
              <w:jc w:val="center"/>
              <w:rPr>
                <w:sz w:val="24"/>
                <w:szCs w:val="24"/>
              </w:rPr>
            </w:pPr>
            <w:r>
              <w:rPr>
                <w:sz w:val="24"/>
                <w:szCs w:val="24"/>
              </w:rPr>
              <w:t>3</w:t>
            </w:r>
          </w:p>
        </w:tc>
        <w:tc>
          <w:tcPr>
            <w:tcW w:w="2676" w:type="dxa"/>
          </w:tcPr>
          <w:p w:rsidR="00DF4850" w:rsidRPr="00852A49" w:rsidRDefault="00DF4850" w:rsidP="00C257C2">
            <w:pPr>
              <w:pStyle w:val="afff4"/>
              <w:rPr>
                <w:sz w:val="24"/>
                <w:szCs w:val="24"/>
                <w:lang w:val="ru-RU"/>
              </w:rPr>
            </w:pPr>
            <w:r w:rsidRPr="00852A49">
              <w:rPr>
                <w:sz w:val="24"/>
                <w:szCs w:val="24"/>
                <w:lang w:val="ru-RU"/>
              </w:rPr>
              <w:t>Електроди Ø 4т мм для зварювання рядових і відповідальних конструкцій з низьковуглецевих марок сталей</w:t>
            </w:r>
          </w:p>
        </w:tc>
        <w:tc>
          <w:tcPr>
            <w:tcW w:w="917" w:type="dxa"/>
            <w:vAlign w:val="center"/>
          </w:tcPr>
          <w:p w:rsidR="00DF4850" w:rsidRPr="00F07944" w:rsidRDefault="00DF4850" w:rsidP="00C257C2">
            <w:pPr>
              <w:pStyle w:val="afff4"/>
              <w:jc w:val="center"/>
              <w:rPr>
                <w:sz w:val="24"/>
                <w:szCs w:val="24"/>
              </w:rPr>
            </w:pPr>
            <w:r w:rsidRPr="00F07944">
              <w:rPr>
                <w:sz w:val="24"/>
                <w:szCs w:val="24"/>
              </w:rPr>
              <w:t>т</w:t>
            </w:r>
          </w:p>
        </w:tc>
        <w:tc>
          <w:tcPr>
            <w:tcW w:w="756" w:type="dxa"/>
            <w:vAlign w:val="center"/>
          </w:tcPr>
          <w:p w:rsidR="00DF4850" w:rsidRPr="00F07944" w:rsidRDefault="00DF4850" w:rsidP="00C257C2">
            <w:pPr>
              <w:pStyle w:val="afff4"/>
              <w:jc w:val="center"/>
              <w:rPr>
                <w:b/>
                <w:sz w:val="24"/>
                <w:szCs w:val="24"/>
              </w:rPr>
            </w:pPr>
            <w:r w:rsidRPr="00F07944">
              <w:rPr>
                <w:b/>
                <w:sz w:val="24"/>
                <w:szCs w:val="24"/>
              </w:rPr>
              <w:t>1,100</w:t>
            </w:r>
          </w:p>
        </w:tc>
        <w:tc>
          <w:tcPr>
            <w:tcW w:w="5063" w:type="dxa"/>
            <w:vMerge/>
          </w:tcPr>
          <w:p w:rsidR="00DF4850" w:rsidRPr="00F07944" w:rsidRDefault="00DF4850" w:rsidP="00C257C2">
            <w:pPr>
              <w:pStyle w:val="afff4"/>
              <w:jc w:val="center"/>
              <w:rPr>
                <w:sz w:val="24"/>
                <w:szCs w:val="24"/>
              </w:rPr>
            </w:pPr>
          </w:p>
        </w:tc>
      </w:tr>
    </w:tbl>
    <w:p w:rsidR="009C5DDF" w:rsidRDefault="009C5DDF" w:rsidP="002109E1">
      <w:pPr>
        <w:jc w:val="both"/>
        <w:rPr>
          <w:lang w:val="uk-UA"/>
        </w:rPr>
      </w:pPr>
    </w:p>
    <w:p w:rsidR="00DF4850" w:rsidRPr="004810C1" w:rsidRDefault="00DF4850" w:rsidP="00DF4850">
      <w:pPr>
        <w:shd w:val="clear" w:color="auto" w:fill="FFFFFF"/>
        <w:ind w:right="-1"/>
        <w:jc w:val="both"/>
        <w:rPr>
          <w:b/>
          <w:bCs/>
          <w:u w:val="single"/>
        </w:rPr>
      </w:pPr>
      <w:r w:rsidRPr="004810C1">
        <w:rPr>
          <w:b/>
          <w:bCs/>
        </w:rPr>
        <w:t>Загальні вимоги до електродів:</w:t>
      </w:r>
    </w:p>
    <w:p w:rsidR="00DF4850" w:rsidRPr="004810C1" w:rsidRDefault="00DF4850" w:rsidP="00DF4850">
      <w:pPr>
        <w:shd w:val="clear" w:color="auto" w:fill="FFFFFF"/>
        <w:ind w:right="-1"/>
        <w:jc w:val="both"/>
      </w:pPr>
      <w:r w:rsidRPr="004810C1">
        <w:t>Покриття дроту повинно бути рівномірним, без сколів, трі</w:t>
      </w:r>
      <w:r>
        <w:t>щ</w:t>
      </w:r>
      <w:r w:rsidRPr="004810C1">
        <w:t>ин, стоншення чи напливів.</w:t>
      </w:r>
    </w:p>
    <w:p w:rsidR="00DF4850" w:rsidRPr="004810C1" w:rsidRDefault="00DF4850" w:rsidP="00DF4850">
      <w:pPr>
        <w:shd w:val="clear" w:color="auto" w:fill="FFFFFF"/>
        <w:ind w:right="-1"/>
        <w:jc w:val="both"/>
      </w:pPr>
      <w:r w:rsidRPr="004810C1">
        <w:t>Упаковка повинна мати маркування із зазначенням заводу-виробника, марки електродів та їх діаметру, класифікації електродів згідно з застосовним стандартом, номеру партії.</w:t>
      </w:r>
    </w:p>
    <w:p w:rsidR="00DF4850" w:rsidRPr="004810C1" w:rsidRDefault="00DF4850" w:rsidP="00DF4850">
      <w:pPr>
        <w:shd w:val="clear" w:color="auto" w:fill="FFFFFF"/>
        <w:ind w:right="-1"/>
        <w:jc w:val="both"/>
      </w:pPr>
      <w:r w:rsidRPr="004810C1">
        <w:t>Кожна пачка повинна бути запаяна поліетиленовою плівкою для захисту від вологи. Наявність конденсату на плівці в середині пачки не допускається.</w:t>
      </w:r>
    </w:p>
    <w:p w:rsidR="00DF4850" w:rsidRPr="004810C1" w:rsidRDefault="00DF4850" w:rsidP="00DF4850">
      <w:pPr>
        <w:widowControl w:val="0"/>
        <w:tabs>
          <w:tab w:val="left" w:pos="-142"/>
        </w:tabs>
        <w:jc w:val="both"/>
      </w:pPr>
      <w:r w:rsidRPr="004810C1">
        <w:t xml:space="preserve">Термін виготовлення електродів </w:t>
      </w:r>
      <w:r>
        <w:rPr>
          <w:lang w:val="uk-UA"/>
        </w:rPr>
        <w:t>- 2024 рік</w:t>
      </w:r>
      <w:r w:rsidRPr="004810C1">
        <w:t>.</w:t>
      </w:r>
    </w:p>
    <w:p w:rsidR="00DF4850" w:rsidRDefault="00DF4850" w:rsidP="00DF4850">
      <w:pPr>
        <w:jc w:val="both"/>
        <w:rPr>
          <w:lang w:val="uk-UA"/>
        </w:rPr>
      </w:pPr>
    </w:p>
    <w:p w:rsidR="00DF4850" w:rsidRDefault="00DF4850" w:rsidP="00DF4850">
      <w:pPr>
        <w:jc w:val="both"/>
        <w:rPr>
          <w:bCs/>
          <w:lang w:val="uk-UA"/>
        </w:rPr>
      </w:pPr>
      <w:r>
        <w:rPr>
          <w:bCs/>
          <w:lang w:val="uk-UA"/>
        </w:rPr>
        <w:t>Учасник у складі тендерної пропозиції повинен надати копії наступних документів:</w:t>
      </w:r>
    </w:p>
    <w:p w:rsidR="00DF4850" w:rsidRDefault="00DF4850" w:rsidP="00DF4850">
      <w:pPr>
        <w:jc w:val="both"/>
        <w:rPr>
          <w:bCs/>
          <w:lang w:val="uk-UA"/>
        </w:rPr>
      </w:pPr>
      <w:r w:rsidRPr="00783777">
        <w:rPr>
          <w:bCs/>
        </w:rPr>
        <w:t xml:space="preserve">паспорт </w:t>
      </w:r>
      <w:r>
        <w:rPr>
          <w:bCs/>
          <w:lang w:val="uk-UA"/>
        </w:rPr>
        <w:t xml:space="preserve">або </w:t>
      </w:r>
      <w:r w:rsidRPr="00783777">
        <w:rPr>
          <w:bCs/>
        </w:rPr>
        <w:t xml:space="preserve">сертифікат якості </w:t>
      </w:r>
      <w:r>
        <w:rPr>
          <w:bCs/>
          <w:lang w:val="uk-UA"/>
        </w:rPr>
        <w:t>та сертифікат відповідності.</w:t>
      </w:r>
    </w:p>
    <w:p w:rsidR="00DF4850" w:rsidRPr="00F16EBF" w:rsidRDefault="00DF4850" w:rsidP="00DF4850">
      <w:pPr>
        <w:jc w:val="both"/>
        <w:rPr>
          <w:b/>
          <w:bCs/>
          <w:lang w:val="uk-UA"/>
        </w:rPr>
      </w:pPr>
    </w:p>
    <w:p w:rsidR="00DF4850" w:rsidRDefault="00DF4850" w:rsidP="00DF4850">
      <w:pPr>
        <w:jc w:val="both"/>
        <w:rPr>
          <w:lang w:val="uk-UA"/>
        </w:rPr>
      </w:pPr>
      <w:r>
        <w:rPr>
          <w:lang w:val="uk-UA"/>
        </w:rPr>
        <w:t>Оскільки електроди будуть використовуватись для зварювання трубопроводів теплових мереж та мереж гарячого водопостачання підприємства критичної інфраструктури при проведенні ремонтних робіт та ліквідації аварійних ситуацій, поставка товару повинна здійснюватись тільки відповідно до заявки Замовника наступним чином:</w:t>
      </w:r>
    </w:p>
    <w:p w:rsidR="00DF4850" w:rsidRDefault="00DF4850" w:rsidP="00DF4850">
      <w:pPr>
        <w:pStyle w:val="afa"/>
        <w:numPr>
          <w:ilvl w:val="0"/>
          <w:numId w:val="4"/>
        </w:numPr>
        <w:ind w:left="426"/>
        <w:jc w:val="both"/>
        <w:rPr>
          <w:sz w:val="24"/>
          <w:szCs w:val="24"/>
          <w:lang w:val="uk-UA"/>
        </w:rPr>
      </w:pPr>
      <w:r w:rsidRPr="00B21EB6">
        <w:rPr>
          <w:sz w:val="24"/>
          <w:szCs w:val="24"/>
          <w:lang w:val="uk-UA"/>
        </w:rPr>
        <w:t>п</w:t>
      </w:r>
      <w:r>
        <w:rPr>
          <w:sz w:val="24"/>
          <w:szCs w:val="24"/>
          <w:lang w:val="uk-UA"/>
        </w:rPr>
        <w:t>робна партія – 10-20 кг;</w:t>
      </w:r>
    </w:p>
    <w:p w:rsidR="00DF4850" w:rsidRPr="00DF4850" w:rsidRDefault="00DF4850" w:rsidP="00DF4850">
      <w:pPr>
        <w:pStyle w:val="afa"/>
        <w:numPr>
          <w:ilvl w:val="0"/>
          <w:numId w:val="4"/>
        </w:numPr>
        <w:ind w:left="426"/>
        <w:jc w:val="both"/>
        <w:rPr>
          <w:sz w:val="24"/>
          <w:szCs w:val="24"/>
          <w:lang w:val="uk-UA"/>
        </w:rPr>
      </w:pPr>
      <w:r w:rsidRPr="00DF4850">
        <w:rPr>
          <w:sz w:val="24"/>
          <w:szCs w:val="24"/>
          <w:lang w:val="uk-UA"/>
        </w:rPr>
        <w:t>наступна поставка буде здійснюватись тільки після проведення випробування та підтвердження відповідної якості.</w:t>
      </w:r>
    </w:p>
    <w:p w:rsidR="00DF4850" w:rsidRDefault="00DF4850" w:rsidP="002109E1">
      <w:pPr>
        <w:jc w:val="both"/>
        <w:rPr>
          <w:lang w:val="uk-UA"/>
        </w:rPr>
      </w:pPr>
    </w:p>
    <w:p w:rsidR="00DF4850" w:rsidRDefault="00DF4850" w:rsidP="002109E1">
      <w:pPr>
        <w:jc w:val="both"/>
        <w:rPr>
          <w:lang w:val="uk-UA"/>
        </w:rPr>
      </w:pPr>
    </w:p>
    <w:p w:rsidR="00DF4850" w:rsidRPr="00F1105C" w:rsidRDefault="00DF4850"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F16A4C" w:rsidRPr="00FC01DF" w:rsidRDefault="00F16A4C" w:rsidP="00F16A4C">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F16A4C" w:rsidRPr="00FC01DF" w:rsidRDefault="00F16A4C" w:rsidP="00F16A4C">
      <w:pPr>
        <w:widowControl w:val="0"/>
        <w:tabs>
          <w:tab w:val="left" w:pos="1080"/>
        </w:tabs>
        <w:snapToGrid w:val="0"/>
        <w:ind w:right="-62" w:firstLine="709"/>
        <w:jc w:val="both"/>
        <w:rPr>
          <w:lang w:val="uk-UA"/>
        </w:rPr>
      </w:pPr>
    </w:p>
    <w:p w:rsidR="00F16A4C" w:rsidRPr="00FC01DF" w:rsidRDefault="00F16A4C" w:rsidP="00F16A4C">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F16A4C" w:rsidRPr="00FC01DF" w:rsidRDefault="00F16A4C" w:rsidP="00F16A4C">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F16A4C" w:rsidRPr="00FC01DF" w:rsidRDefault="00F16A4C" w:rsidP="00F16A4C">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F16A4C" w:rsidRPr="00FC01DF" w:rsidRDefault="00F16A4C" w:rsidP="00F16A4C">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6A4C" w:rsidRDefault="00F16A4C" w:rsidP="00F16A4C">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F16A4C" w:rsidRPr="00FC01DF" w:rsidRDefault="00F16A4C" w:rsidP="00F16A4C">
      <w:pPr>
        <w:tabs>
          <w:tab w:val="num" w:pos="0"/>
          <w:tab w:val="left" w:pos="900"/>
        </w:tabs>
        <w:ind w:right="-62" w:firstLine="709"/>
        <w:jc w:val="both"/>
        <w:rPr>
          <w:rFonts w:eastAsia="Calibri"/>
          <w:lang w:val="uk-UA" w:eastAsia="en-US"/>
        </w:rPr>
      </w:pPr>
      <w:r w:rsidRPr="00EC1E08">
        <w:rPr>
          <w:rFonts w:eastAsia="Calibri"/>
          <w:lang w:val="uk-UA" w:eastAsia="en-US"/>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F16A4C" w:rsidRPr="00FC01DF" w:rsidRDefault="00F16A4C" w:rsidP="00F16A4C">
      <w:pPr>
        <w:tabs>
          <w:tab w:val="num" w:pos="0"/>
          <w:tab w:val="left" w:pos="900"/>
        </w:tabs>
        <w:ind w:right="-62"/>
        <w:jc w:val="both"/>
        <w:rPr>
          <w:rFonts w:eastAsia="Calibri"/>
          <w:lang w:val="uk-UA" w:eastAsia="en-US"/>
        </w:rPr>
      </w:pPr>
    </w:p>
    <w:p w:rsidR="00F16A4C" w:rsidRPr="00FC01DF" w:rsidRDefault="00F16A4C" w:rsidP="00F16A4C">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F16A4C" w:rsidRPr="00FC01DF" w:rsidRDefault="00F16A4C" w:rsidP="00F16A4C">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w:t>
      </w:r>
      <w:r w:rsidRPr="00717861">
        <w:rPr>
          <w:rFonts w:eastAsia="Calibri"/>
          <w:lang w:val="uk-UA" w:eastAsia="en-US"/>
        </w:rPr>
        <w:t>на кожну партію Товару.</w:t>
      </w:r>
      <w:r w:rsidRPr="00FC01DF">
        <w:rPr>
          <w:rFonts w:eastAsia="Calibri"/>
          <w:lang w:val="uk-UA" w:eastAsia="en-US"/>
        </w:rPr>
        <w:t xml:space="preserve"> </w:t>
      </w:r>
    </w:p>
    <w:p w:rsidR="00F16A4C" w:rsidRPr="00FC01DF" w:rsidRDefault="00F16A4C" w:rsidP="00F16A4C">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F16A4C" w:rsidRPr="00EC2280" w:rsidRDefault="00F16A4C" w:rsidP="00F16A4C">
      <w:pPr>
        <w:tabs>
          <w:tab w:val="num" w:pos="0"/>
          <w:tab w:val="left" w:pos="900"/>
        </w:tabs>
        <w:ind w:right="-62" w:firstLine="709"/>
        <w:jc w:val="both"/>
        <w:rPr>
          <w:rFonts w:eastAsia="Calibri"/>
          <w:lang w:val="uk-UA" w:eastAsia="en-US"/>
        </w:rPr>
      </w:pPr>
      <w:r w:rsidRPr="00EC2280">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F16A4C" w:rsidRPr="00FC01DF" w:rsidRDefault="00F16A4C" w:rsidP="00F16A4C">
      <w:pPr>
        <w:tabs>
          <w:tab w:val="num" w:pos="0"/>
          <w:tab w:val="left" w:pos="900"/>
        </w:tabs>
        <w:ind w:right="-62" w:firstLine="709"/>
        <w:jc w:val="both"/>
        <w:rPr>
          <w:rFonts w:eastAsia="Calibri"/>
          <w:lang w:val="uk-UA" w:eastAsia="en-US"/>
        </w:rPr>
      </w:pPr>
      <w:r w:rsidRPr="00EC2280">
        <w:rPr>
          <w:rFonts w:eastAsia="Calibri"/>
          <w:lang w:val="uk-UA" w:eastAsia="en-US"/>
        </w:rPr>
        <w:t xml:space="preserve">3.4. </w:t>
      </w:r>
      <w:r w:rsidR="00CB0BCF" w:rsidRPr="00CB0BCF">
        <w:rPr>
          <w:rFonts w:eastAsia="Calibri"/>
          <w:lang w:val="uk-UA" w:eastAsia="en-US"/>
        </w:rPr>
        <w:t>Гарантійний термін на Товар за цим Договором, встановлюється виробником та не може становити менше ніж 12 (дванадцять) місяців. Гарантійний термін починається з моменту фактичної передачі Товару Покупцю.</w:t>
      </w:r>
    </w:p>
    <w:p w:rsidR="00F16A4C" w:rsidRPr="00FC01DF" w:rsidRDefault="00F16A4C" w:rsidP="00F16A4C">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F16A4C" w:rsidRPr="00BB6A1A" w:rsidRDefault="00F16A4C" w:rsidP="00F16A4C">
      <w:pPr>
        <w:tabs>
          <w:tab w:val="num" w:pos="0"/>
          <w:tab w:val="left" w:pos="900"/>
        </w:tabs>
        <w:ind w:right="-62" w:firstLine="709"/>
        <w:jc w:val="both"/>
        <w:rPr>
          <w:rFonts w:eastAsia="Calibri"/>
          <w:lang w:val="uk-UA" w:eastAsia="en-US"/>
        </w:rPr>
      </w:pPr>
      <w:r w:rsidRPr="00BB6A1A">
        <w:rPr>
          <w:rFonts w:eastAsia="Calibri"/>
          <w:lang w:val="uk-UA" w:eastAsia="en-US"/>
        </w:rPr>
        <w:t xml:space="preserve">4.1. Поставка Товару здійснюється партіями відповідно до потреби Покупця та за його окремими заявками </w:t>
      </w:r>
      <w:r w:rsidR="001666DF" w:rsidRPr="001666DF">
        <w:rPr>
          <w:rFonts w:eastAsia="Calibri"/>
          <w:lang w:val="uk-UA" w:eastAsia="en-US"/>
        </w:rPr>
        <w:t>протягом 5 (п’яти) робочих днів з моменту</w:t>
      </w:r>
      <w:r w:rsidR="001666DF">
        <w:rPr>
          <w:rFonts w:eastAsia="Calibri"/>
          <w:lang w:val="uk-UA" w:eastAsia="en-US"/>
        </w:rPr>
        <w:t xml:space="preserve"> отримання заявки</w:t>
      </w:r>
      <w:r w:rsidRPr="00BB6A1A">
        <w:rPr>
          <w:rFonts w:eastAsia="Calibri"/>
          <w:lang w:val="uk-UA" w:eastAsia="en-US"/>
        </w:rPr>
        <w:t>.</w:t>
      </w:r>
    </w:p>
    <w:p w:rsidR="00F16A4C" w:rsidRPr="00FC01DF" w:rsidRDefault="00F16A4C" w:rsidP="00F16A4C">
      <w:pPr>
        <w:tabs>
          <w:tab w:val="num" w:pos="0"/>
          <w:tab w:val="left" w:pos="900"/>
        </w:tabs>
        <w:ind w:right="-62" w:firstLine="709"/>
        <w:jc w:val="both"/>
        <w:rPr>
          <w:rFonts w:eastAsia="Calibri"/>
          <w:color w:val="000000"/>
          <w:lang w:val="uk-UA" w:eastAsia="en-US"/>
        </w:rPr>
      </w:pPr>
      <w:r w:rsidRPr="00BB6A1A">
        <w:rPr>
          <w:rFonts w:eastAsia="Calibri"/>
          <w:lang w:val="uk-UA" w:eastAsia="en-US"/>
        </w:rPr>
        <w:t>4.2. Пос</w:t>
      </w:r>
      <w:r w:rsidR="00886297">
        <w:rPr>
          <w:rFonts w:eastAsia="Calibri"/>
          <w:lang w:val="uk-UA" w:eastAsia="en-US"/>
        </w:rPr>
        <w:t>тачальник зобов’язаний поставляти</w:t>
      </w:r>
      <w:r w:rsidRPr="00BB6A1A">
        <w:rPr>
          <w:rFonts w:eastAsia="Calibri"/>
          <w:lang w:val="uk-UA" w:eastAsia="en-US"/>
        </w:rPr>
        <w:t xml:space="preserve"> Товар своїм (або окремо найманим) транспортом за власний рахунок на склад Покупця за адресою: </w:t>
      </w:r>
      <w:r w:rsidR="00CA0CBB" w:rsidRPr="00CA0CBB">
        <w:rPr>
          <w:lang w:val="uk-UA" w:eastAsia="en-US"/>
        </w:rPr>
        <w:t>43005, м. Луцьк, вул. Гулака-Артемовського, 20</w:t>
      </w:r>
      <w:r w:rsidRPr="00086E0F">
        <w:rPr>
          <w:lang w:val="uk-UA" w:eastAsia="en-US"/>
        </w:rPr>
        <w:t>.</w:t>
      </w:r>
    </w:p>
    <w:p w:rsidR="00F16A4C" w:rsidRPr="00FC01DF" w:rsidRDefault="00F16A4C" w:rsidP="00F16A4C">
      <w:pPr>
        <w:tabs>
          <w:tab w:val="num" w:pos="0"/>
          <w:tab w:val="left" w:pos="900"/>
        </w:tabs>
        <w:ind w:right="-62" w:firstLine="709"/>
        <w:jc w:val="both"/>
        <w:rPr>
          <w:rFonts w:eastAsia="Calibri"/>
          <w:lang w:val="uk-UA" w:eastAsia="en-US"/>
        </w:rPr>
      </w:pPr>
      <w:r>
        <w:rPr>
          <w:rFonts w:eastAsia="Calibri"/>
          <w:lang w:val="uk-UA" w:eastAsia="en-US"/>
        </w:rPr>
        <w:t>4.3</w:t>
      </w:r>
      <w:r w:rsidRPr="00FC01DF">
        <w:rPr>
          <w:rFonts w:eastAsia="Calibri"/>
          <w:lang w:val="uk-UA" w:eastAsia="en-US"/>
        </w:rPr>
        <w:t xml:space="preserve">. Датою поставки </w:t>
      </w:r>
      <w:r w:rsidR="000B7E0B">
        <w:rPr>
          <w:rFonts w:eastAsia="Calibri"/>
          <w:lang w:val="uk-UA" w:eastAsia="en-US"/>
        </w:rPr>
        <w:t xml:space="preserve">партії </w:t>
      </w:r>
      <w:r w:rsidRPr="00FC01DF">
        <w:rPr>
          <w:rFonts w:eastAsia="Calibri"/>
          <w:lang w:val="uk-UA" w:eastAsia="en-US"/>
        </w:rPr>
        <w:t>Товару є дата підписання Покупцем видаткової накладної.</w:t>
      </w:r>
    </w:p>
    <w:p w:rsidR="00F16A4C" w:rsidRPr="00FC01DF" w:rsidRDefault="00F16A4C" w:rsidP="00F16A4C">
      <w:pPr>
        <w:tabs>
          <w:tab w:val="num" w:pos="0"/>
          <w:tab w:val="left" w:pos="900"/>
        </w:tabs>
        <w:ind w:right="-62" w:firstLine="709"/>
        <w:jc w:val="both"/>
        <w:rPr>
          <w:rFonts w:eastAsia="Calibri"/>
          <w:lang w:val="uk-UA" w:eastAsia="en-US"/>
        </w:rPr>
      </w:pPr>
      <w:r>
        <w:rPr>
          <w:rFonts w:eastAsia="Calibri"/>
          <w:lang w:val="uk-UA" w:eastAsia="en-US"/>
        </w:rPr>
        <w:lastRenderedPageBreak/>
        <w:t>4.4</w:t>
      </w:r>
      <w:r w:rsidRPr="00FC01DF">
        <w:rPr>
          <w:rFonts w:eastAsia="Calibri"/>
          <w:lang w:val="uk-UA" w:eastAsia="en-US"/>
        </w:rPr>
        <w:t xml:space="preserve">. </w:t>
      </w:r>
      <w:r w:rsidRPr="00086B14">
        <w:rPr>
          <w:rFonts w:eastAsia="Calibri"/>
          <w:lang w:val="uk-UA" w:eastAsia="en-US"/>
        </w:rPr>
        <w:t>На кожну партію Товару</w:t>
      </w:r>
      <w:r w:rsidRPr="00FC01DF">
        <w:rPr>
          <w:rFonts w:eastAsia="Calibri"/>
          <w:lang w:val="uk-UA" w:eastAsia="en-US"/>
        </w:rPr>
        <w:t xml:space="preserve"> Постачальник в обов’язковому порядку надає Покупцю наступні документи: рахунок-фактуру, видаткову накладну, ___________________________.</w:t>
      </w:r>
    </w:p>
    <w:p w:rsidR="00F16A4C" w:rsidRPr="00FC01DF" w:rsidRDefault="00F16A4C" w:rsidP="00F16A4C">
      <w:pPr>
        <w:tabs>
          <w:tab w:val="num" w:pos="0"/>
          <w:tab w:val="left" w:pos="900"/>
        </w:tabs>
        <w:ind w:right="-62" w:firstLine="709"/>
        <w:jc w:val="both"/>
        <w:rPr>
          <w:rFonts w:eastAsia="Calibri"/>
          <w:lang w:val="uk-UA" w:eastAsia="en-US"/>
        </w:rPr>
      </w:pPr>
      <w:r>
        <w:rPr>
          <w:rFonts w:eastAsia="Calibri"/>
          <w:lang w:val="uk-UA" w:eastAsia="en-US"/>
        </w:rPr>
        <w:t>4.5</w:t>
      </w:r>
      <w:r w:rsidRPr="00FC01DF">
        <w:rPr>
          <w:rFonts w:eastAsia="Calibri"/>
          <w:lang w:val="uk-UA" w:eastAsia="en-US"/>
        </w:rPr>
        <w:t>.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F16A4C" w:rsidRPr="00FC01DF" w:rsidRDefault="00F16A4C" w:rsidP="00F16A4C">
      <w:pPr>
        <w:tabs>
          <w:tab w:val="num" w:pos="0"/>
          <w:tab w:val="left" w:pos="900"/>
        </w:tabs>
        <w:ind w:right="-62" w:firstLine="709"/>
        <w:jc w:val="both"/>
        <w:rPr>
          <w:rFonts w:eastAsia="Calibri"/>
          <w:lang w:val="uk-UA" w:eastAsia="en-US"/>
        </w:rPr>
      </w:pPr>
      <w:r>
        <w:rPr>
          <w:rFonts w:eastAsia="Calibri"/>
          <w:lang w:val="uk-UA" w:eastAsia="en-US"/>
        </w:rPr>
        <w:t>4.6</w:t>
      </w:r>
      <w:r w:rsidRPr="00FC01DF">
        <w:rPr>
          <w:rFonts w:eastAsia="Calibri"/>
          <w:lang w:val="uk-UA" w:eastAsia="en-US"/>
        </w:rPr>
        <w:t xml:space="preserve">. У разі ненадходження від Покупця заявок на поставку </w:t>
      </w:r>
      <w:r w:rsidR="000B7E0B">
        <w:rPr>
          <w:rFonts w:eastAsia="Calibri"/>
          <w:lang w:val="uk-UA" w:eastAsia="en-US"/>
        </w:rPr>
        <w:t xml:space="preserve">відповідної партії </w:t>
      </w:r>
      <w:r w:rsidRPr="00FC01DF">
        <w:rPr>
          <w:rFonts w:eastAsia="Calibri"/>
          <w:lang w:val="uk-UA" w:eastAsia="en-US"/>
        </w:rPr>
        <w:t>Тов</w:t>
      </w:r>
      <w:r w:rsidR="00292E9A">
        <w:rPr>
          <w:rFonts w:eastAsia="Calibri"/>
          <w:lang w:val="uk-UA" w:eastAsia="en-US"/>
        </w:rPr>
        <w:t>ару, Постачальник не здійснює її</w:t>
      </w:r>
      <w:r w:rsidRPr="00FC01DF">
        <w:rPr>
          <w:rFonts w:eastAsia="Calibri"/>
          <w:lang w:val="uk-UA" w:eastAsia="en-US"/>
        </w:rPr>
        <w:t xml:space="preserve"> постачання.</w:t>
      </w:r>
    </w:p>
    <w:p w:rsidR="00F16A4C" w:rsidRPr="00FC01DF" w:rsidRDefault="00F16A4C" w:rsidP="00F16A4C">
      <w:pPr>
        <w:tabs>
          <w:tab w:val="num" w:pos="0"/>
          <w:tab w:val="left" w:pos="900"/>
        </w:tabs>
        <w:ind w:right="-62" w:firstLine="709"/>
        <w:jc w:val="both"/>
        <w:rPr>
          <w:rFonts w:eastAsia="Calibri"/>
          <w:lang w:val="uk-UA" w:eastAsia="en-US"/>
        </w:rPr>
      </w:pPr>
    </w:p>
    <w:p w:rsidR="00F16A4C" w:rsidRPr="00FC01DF" w:rsidRDefault="00F16A4C" w:rsidP="00F16A4C">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F16A4C" w:rsidRPr="00FC01DF" w:rsidRDefault="00F16A4C" w:rsidP="00F16A4C">
      <w:pPr>
        <w:ind w:right="43" w:firstLine="709"/>
        <w:jc w:val="both"/>
        <w:rPr>
          <w:rFonts w:eastAsia="Calibri"/>
          <w:lang w:val="uk-UA" w:eastAsia="en-US"/>
        </w:rPr>
      </w:pPr>
      <w:r w:rsidRPr="00FC01DF">
        <w:rPr>
          <w:rFonts w:eastAsia="Calibri"/>
          <w:lang w:val="uk-UA" w:eastAsia="en-US"/>
        </w:rPr>
        <w:t xml:space="preserve">5.1. </w:t>
      </w:r>
      <w:r w:rsidR="00C13DD2" w:rsidRPr="00C13DD2">
        <w:rPr>
          <w:rFonts w:eastAsia="Calibri"/>
          <w:lang w:val="uk-UA" w:eastAsia="en-US"/>
        </w:rPr>
        <w:t>Розрахунки за Товар здійснюються Покупцем</w:t>
      </w:r>
      <w:bookmarkStart w:id="85" w:name="_GoBack"/>
      <w:bookmarkEnd w:id="85"/>
      <w:r w:rsidR="00C13DD2" w:rsidRPr="00C13DD2">
        <w:rPr>
          <w:rFonts w:eastAsia="Calibri"/>
          <w:lang w:val="uk-UA" w:eastAsia="en-US"/>
        </w:rPr>
        <w:t xml:space="preserve"> на умовах 100% після</w:t>
      </w:r>
      <w:r w:rsidR="006505D3">
        <w:rPr>
          <w:rFonts w:eastAsia="Calibri"/>
          <w:lang w:val="uk-UA" w:eastAsia="en-US"/>
        </w:rPr>
        <w:t>оплати в безготівковому порядку</w:t>
      </w:r>
      <w:r w:rsidR="006505D3">
        <w:rPr>
          <w:rFonts w:eastAsia="Calibri"/>
          <w:lang w:val="en-US" w:eastAsia="en-US"/>
        </w:rPr>
        <w:t xml:space="preserve"> </w:t>
      </w:r>
      <w:r w:rsidR="00C13DD2" w:rsidRPr="00C13DD2">
        <w:rPr>
          <w:rFonts w:eastAsia="Calibri"/>
          <w:lang w:val="uk-UA" w:eastAsia="en-US"/>
        </w:rPr>
        <w:t>за рахунок власних коштів шляхом перерахування на поточний р</w:t>
      </w:r>
      <w:r w:rsidR="00E62AA6">
        <w:rPr>
          <w:rFonts w:eastAsia="Calibri"/>
          <w:lang w:val="uk-UA" w:eastAsia="en-US"/>
        </w:rPr>
        <w:t>ахунок Постачальника протягом 60</w:t>
      </w:r>
      <w:r w:rsidR="00C13DD2" w:rsidRPr="00C13DD2">
        <w:rPr>
          <w:rFonts w:eastAsia="Calibri"/>
          <w:lang w:val="uk-UA" w:eastAsia="en-US"/>
        </w:rPr>
        <w:t xml:space="preserve"> (</w:t>
      </w:r>
      <w:r w:rsidR="00E62AA6">
        <w:rPr>
          <w:rFonts w:eastAsia="Calibri"/>
          <w:lang w:val="uk-UA" w:eastAsia="en-US"/>
        </w:rPr>
        <w:t>шістдес</w:t>
      </w:r>
      <w:r w:rsidR="00C13DD2" w:rsidRPr="00C13DD2">
        <w:rPr>
          <w:rFonts w:eastAsia="Calibri"/>
          <w:lang w:val="uk-UA" w:eastAsia="en-US"/>
        </w:rPr>
        <w:t xml:space="preserve">яти) банківських днів  з моменту отримання </w:t>
      </w:r>
      <w:r w:rsidR="009C14F6">
        <w:rPr>
          <w:rFonts w:eastAsia="Calibri"/>
          <w:lang w:val="uk-UA" w:eastAsia="en-US"/>
        </w:rPr>
        <w:t xml:space="preserve">кожної партії </w:t>
      </w:r>
      <w:r w:rsidR="00C13DD2" w:rsidRPr="00C13DD2">
        <w:rPr>
          <w:rFonts w:eastAsia="Calibri"/>
          <w:lang w:val="uk-UA" w:eastAsia="en-US"/>
        </w:rPr>
        <w:t>Товару.</w:t>
      </w:r>
      <w:r w:rsidRPr="00555F9B">
        <w:rPr>
          <w:rFonts w:eastAsia="Calibri"/>
          <w:lang w:val="uk-UA" w:eastAsia="en-US"/>
        </w:rPr>
        <w:t xml:space="preserve">  </w:t>
      </w:r>
      <w:r w:rsidRPr="00FC01DF">
        <w:rPr>
          <w:rFonts w:eastAsia="Calibri"/>
          <w:lang w:val="uk-UA" w:eastAsia="en-US"/>
        </w:rPr>
        <w:t xml:space="preserve"> </w:t>
      </w:r>
    </w:p>
    <w:p w:rsidR="00F16A4C" w:rsidRPr="00FC01DF" w:rsidRDefault="00F16A4C" w:rsidP="00F16A4C">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F16A4C" w:rsidRPr="00FC01DF" w:rsidRDefault="00F16A4C" w:rsidP="00F16A4C">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F16A4C" w:rsidRPr="00FC01DF" w:rsidRDefault="00F16A4C" w:rsidP="00F16A4C">
      <w:pPr>
        <w:widowControl w:val="0"/>
        <w:tabs>
          <w:tab w:val="left" w:pos="1080"/>
        </w:tabs>
        <w:snapToGrid w:val="0"/>
        <w:ind w:right="-62"/>
        <w:jc w:val="both"/>
        <w:rPr>
          <w:lang w:val="uk-UA" w:eastAsia="en-US"/>
        </w:rPr>
      </w:pPr>
    </w:p>
    <w:p w:rsidR="00F16A4C" w:rsidRPr="00FC01DF" w:rsidRDefault="00F16A4C" w:rsidP="00F16A4C">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F16A4C" w:rsidRPr="00FC01DF" w:rsidRDefault="00F16A4C" w:rsidP="00F16A4C">
      <w:pPr>
        <w:tabs>
          <w:tab w:val="left" w:pos="1080"/>
        </w:tabs>
        <w:ind w:right="-62" w:firstLine="709"/>
        <w:jc w:val="both"/>
      </w:pPr>
      <w:r w:rsidRPr="00FC01DF">
        <w:t>6.1. Прий</w:t>
      </w:r>
      <w:r w:rsidRPr="00FC01DF">
        <w:rPr>
          <w:lang w:val="uk-UA"/>
        </w:rPr>
        <w:t>мання</w:t>
      </w:r>
      <w:r w:rsidRPr="00FC01DF">
        <w:t xml:space="preserve"> </w:t>
      </w:r>
      <w:r w:rsidR="00B579D2">
        <w:rPr>
          <w:lang w:val="uk-UA"/>
        </w:rPr>
        <w:t xml:space="preserve">кожної партії </w:t>
      </w:r>
      <w:r w:rsidRPr="00FC01DF">
        <w:t xml:space="preserve">Товару за кількістю та якістю Покупець здійснює </w:t>
      </w:r>
      <w:r w:rsidRPr="00FC01DF">
        <w:rPr>
          <w:lang w:val="uk-UA"/>
        </w:rPr>
        <w:t>на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F16A4C" w:rsidRPr="00FC01DF" w:rsidRDefault="00F16A4C" w:rsidP="00F16A4C">
      <w:pPr>
        <w:tabs>
          <w:tab w:val="left" w:pos="1080"/>
        </w:tabs>
        <w:ind w:right="-62" w:firstLine="709"/>
        <w:jc w:val="both"/>
      </w:pPr>
      <w:r w:rsidRPr="00FC01DF">
        <w:t xml:space="preserve">6.2. </w:t>
      </w:r>
      <w:r w:rsidR="00C13DD2" w:rsidRPr="00C13DD2">
        <w:t>Право власності на Товар виникає у Покупця в момент передачі йому Товару Постачальником, що фіксується видатковою накладною про приймання</w:t>
      </w:r>
      <w:r w:rsidR="00B579D2">
        <w:rPr>
          <w:lang w:val="uk-UA"/>
        </w:rPr>
        <w:t xml:space="preserve"> кожної партії</w:t>
      </w:r>
      <w:r w:rsidR="00C13DD2" w:rsidRPr="00C13DD2">
        <w:t xml:space="preserve"> товару.</w:t>
      </w:r>
    </w:p>
    <w:p w:rsidR="00F16A4C" w:rsidRPr="00FC01DF" w:rsidRDefault="00F16A4C" w:rsidP="00F16A4C">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00C13DD2">
        <w:rPr>
          <w:lang w:val="uk-UA"/>
        </w:rPr>
        <w:t>3</w:t>
      </w:r>
      <w:r w:rsidRPr="00FC01DF">
        <w:t xml:space="preserve"> календарних днів з моменту отримання відповідної вимоги та відшкодувати понесені Покупцем збитки. </w:t>
      </w:r>
    </w:p>
    <w:p w:rsidR="00F16A4C" w:rsidRPr="00FC01DF" w:rsidRDefault="00F16A4C" w:rsidP="00F16A4C">
      <w:pPr>
        <w:tabs>
          <w:tab w:val="left" w:pos="1080"/>
        </w:tabs>
        <w:ind w:right="-62" w:firstLine="709"/>
        <w:jc w:val="both"/>
        <w:rPr>
          <w:lang w:val="uk-UA"/>
        </w:rPr>
      </w:pPr>
    </w:p>
    <w:p w:rsidR="00F16A4C" w:rsidRPr="00FC01DF" w:rsidRDefault="00F16A4C" w:rsidP="00F16A4C">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F16A4C" w:rsidRPr="00FC01DF" w:rsidRDefault="00F16A4C" w:rsidP="00F16A4C">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F16A4C" w:rsidRPr="00FC01DF" w:rsidRDefault="00F16A4C" w:rsidP="00F16A4C">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F16A4C" w:rsidRPr="00FC01DF" w:rsidRDefault="00F16A4C" w:rsidP="00F16A4C">
      <w:pPr>
        <w:tabs>
          <w:tab w:val="left" w:pos="1080"/>
        </w:tabs>
        <w:ind w:right="-62" w:firstLine="709"/>
        <w:jc w:val="both"/>
        <w:rPr>
          <w:rFonts w:eastAsia="Calibri"/>
          <w:lang w:val="uk-UA" w:eastAsia="en-US"/>
        </w:rPr>
      </w:pPr>
      <w:r w:rsidRPr="00E92E3F">
        <w:rPr>
          <w:rFonts w:eastAsia="Calibri"/>
          <w:color w:val="000000" w:themeColor="text1"/>
          <w:lang w:val="uk-UA" w:eastAsia="en-US"/>
        </w:rPr>
        <w:t>7.2. У випадку порушення встановлених цим Договором строків поставки</w:t>
      </w:r>
      <w:r w:rsidR="004A166D">
        <w:rPr>
          <w:rFonts w:eastAsia="Calibri"/>
          <w:color w:val="000000" w:themeColor="text1"/>
          <w:lang w:val="uk-UA" w:eastAsia="en-US"/>
        </w:rPr>
        <w:t xml:space="preserve"> відповідної партії</w:t>
      </w:r>
      <w:r w:rsidRPr="00E92E3F">
        <w:rPr>
          <w:rFonts w:eastAsia="Calibri"/>
          <w:color w:val="000000" w:themeColor="text1"/>
          <w:lang w:val="uk-UA" w:eastAsia="en-US"/>
        </w:rPr>
        <w:t xml:space="preserve"> Товару або </w:t>
      </w:r>
      <w:r w:rsidR="004A166D">
        <w:rPr>
          <w:rFonts w:eastAsia="Calibri"/>
          <w:color w:val="000000" w:themeColor="text1"/>
          <w:lang w:val="uk-UA" w:eastAsia="en-US"/>
        </w:rPr>
        <w:t xml:space="preserve">її </w:t>
      </w:r>
      <w:r w:rsidRPr="00E92E3F">
        <w:rPr>
          <w:rFonts w:eastAsia="Calibri"/>
          <w:color w:val="000000" w:themeColor="text1"/>
          <w:lang w:val="uk-UA" w:eastAsia="en-US"/>
        </w:rPr>
        <w:t>недопоставки, Постачальник сплачує Покупцю пеню у розмірі облікової ставки НБУ, діючої на день її нарахува</w:t>
      </w:r>
      <w:r w:rsidR="003A2665">
        <w:rPr>
          <w:rFonts w:eastAsia="Calibri"/>
          <w:color w:val="000000" w:themeColor="text1"/>
          <w:lang w:val="uk-UA" w:eastAsia="en-US"/>
        </w:rPr>
        <w:t>ння від вартості не поставленої</w:t>
      </w:r>
      <w:r w:rsidRPr="00E92E3F">
        <w:rPr>
          <w:rFonts w:eastAsia="Calibri"/>
          <w:color w:val="000000" w:themeColor="text1"/>
          <w:lang w:val="uk-UA" w:eastAsia="en-US"/>
        </w:rPr>
        <w:t xml:space="preserve"> (недопоставлено</w:t>
      </w:r>
      <w:r w:rsidR="003A2665">
        <w:rPr>
          <w:rFonts w:eastAsia="Calibri"/>
          <w:color w:val="000000" w:themeColor="text1"/>
          <w:lang w:val="uk-UA" w:eastAsia="en-US"/>
        </w:rPr>
        <w:t>ї</w:t>
      </w:r>
      <w:r w:rsidRPr="00E92E3F">
        <w:rPr>
          <w:rFonts w:eastAsia="Calibri"/>
          <w:color w:val="000000" w:themeColor="text1"/>
          <w:lang w:val="uk-UA" w:eastAsia="en-US"/>
        </w:rPr>
        <w:t xml:space="preserve">) в строки </w:t>
      </w:r>
      <w:r w:rsidR="003A2665">
        <w:rPr>
          <w:rFonts w:eastAsia="Calibri"/>
          <w:color w:val="000000" w:themeColor="text1"/>
          <w:lang w:val="uk-UA" w:eastAsia="en-US"/>
        </w:rPr>
        <w:t>партії</w:t>
      </w:r>
      <w:r w:rsidRPr="00E92E3F">
        <w:rPr>
          <w:rFonts w:eastAsia="Calibri"/>
          <w:color w:val="000000" w:themeColor="text1"/>
          <w:lang w:val="uk-UA" w:eastAsia="en-US"/>
        </w:rPr>
        <w:t xml:space="preserve"> Товару за кожний день прострочення такої поставки. При цьому загальна сума пені не повинна перевищу</w:t>
      </w:r>
      <w:r w:rsidR="003A2665">
        <w:rPr>
          <w:rFonts w:eastAsia="Calibri"/>
          <w:color w:val="000000" w:themeColor="text1"/>
          <w:lang w:val="uk-UA" w:eastAsia="en-US"/>
        </w:rPr>
        <w:t>вати 50% вартості непоставленої</w:t>
      </w:r>
      <w:r w:rsidRPr="00E92E3F">
        <w:rPr>
          <w:rFonts w:eastAsia="Calibri"/>
          <w:color w:val="000000" w:themeColor="text1"/>
          <w:lang w:val="uk-UA" w:eastAsia="en-US"/>
        </w:rPr>
        <w:t xml:space="preserve"> у строк партії Товару. </w:t>
      </w:r>
    </w:p>
    <w:p w:rsidR="00F16A4C" w:rsidRPr="00FC01DF" w:rsidRDefault="00F16A4C" w:rsidP="00F16A4C">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F16A4C" w:rsidRPr="00FC01DF" w:rsidRDefault="00F16A4C" w:rsidP="00F16A4C">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w:t>
      </w:r>
      <w:r w:rsidRPr="0015225F">
        <w:rPr>
          <w:lang w:val="uk-UA" w:eastAsia="uk-UA"/>
        </w:rPr>
        <w:t>4.4.</w:t>
      </w:r>
      <w:r w:rsidRPr="00FC01DF">
        <w:rPr>
          <w:lang w:val="uk-UA" w:eastAsia="uk-UA"/>
        </w:rPr>
        <w:t xml:space="preserve"> цього Договору Покупець вправі затр</w:t>
      </w:r>
      <w:r>
        <w:rPr>
          <w:lang w:val="uk-UA" w:eastAsia="uk-UA"/>
        </w:rPr>
        <w:t>имати оплату вартості отриманої партії</w:t>
      </w:r>
      <w:r w:rsidRPr="00FC01DF">
        <w:rPr>
          <w:lang w:val="uk-UA" w:eastAsia="uk-UA"/>
        </w:rPr>
        <w:t xml:space="preserve"> Товару, без понесення відповідальності за таку затримку, до виконання Постачальником своїх зобов’язань. </w:t>
      </w:r>
    </w:p>
    <w:p w:rsidR="00F16A4C" w:rsidRPr="00FC01DF" w:rsidRDefault="00F16A4C" w:rsidP="00F16A4C">
      <w:pPr>
        <w:tabs>
          <w:tab w:val="left" w:pos="1080"/>
        </w:tabs>
        <w:ind w:right="-62" w:firstLine="709"/>
        <w:jc w:val="both"/>
        <w:rPr>
          <w:lang w:val="uk-UA" w:eastAsia="uk-UA"/>
        </w:rPr>
      </w:pPr>
      <w:r w:rsidRPr="00FC01DF">
        <w:rPr>
          <w:lang w:val="uk-UA" w:eastAsia="uk-UA"/>
        </w:rPr>
        <w:t>7.5. У разі несвоєч</w:t>
      </w:r>
      <w:r>
        <w:rPr>
          <w:lang w:val="uk-UA" w:eastAsia="uk-UA"/>
        </w:rPr>
        <w:t>асної оплати вартості отриманої партії</w:t>
      </w:r>
      <w:r w:rsidRPr="00FC01DF">
        <w:rPr>
          <w:lang w:val="uk-UA" w:eastAsia="uk-UA"/>
        </w:rPr>
        <w:t xml:space="preserve">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w:t>
      </w:r>
      <w:r>
        <w:rPr>
          <w:lang w:val="uk-UA" w:eastAsia="uk-UA"/>
        </w:rPr>
        <w:t>вищувати 50% вартості отриманої</w:t>
      </w:r>
      <w:r w:rsidRPr="00FC01DF">
        <w:rPr>
          <w:lang w:val="uk-UA" w:eastAsia="uk-UA"/>
        </w:rPr>
        <w:t xml:space="preserve"> </w:t>
      </w:r>
      <w:r>
        <w:rPr>
          <w:lang w:val="uk-UA" w:eastAsia="uk-UA"/>
        </w:rPr>
        <w:t xml:space="preserve">партії </w:t>
      </w:r>
      <w:r w:rsidRPr="00FC01DF">
        <w:rPr>
          <w:lang w:val="uk-UA" w:eastAsia="uk-UA"/>
        </w:rPr>
        <w:t>Товару.</w:t>
      </w:r>
    </w:p>
    <w:p w:rsidR="00F16A4C" w:rsidRPr="00FC01DF" w:rsidRDefault="00F16A4C" w:rsidP="00F16A4C">
      <w:pPr>
        <w:tabs>
          <w:tab w:val="left" w:pos="1080"/>
        </w:tabs>
        <w:ind w:right="-62" w:firstLine="709"/>
        <w:jc w:val="both"/>
        <w:rPr>
          <w:lang w:val="uk-UA" w:eastAsia="uk-UA"/>
        </w:rPr>
      </w:pPr>
      <w:r w:rsidRPr="00FC01DF">
        <w:rPr>
          <w:lang w:val="uk-UA"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F16A4C" w:rsidRPr="00FC01DF" w:rsidRDefault="00F16A4C" w:rsidP="00F16A4C">
      <w:pPr>
        <w:tabs>
          <w:tab w:val="left" w:pos="1080"/>
        </w:tabs>
        <w:ind w:right="-62" w:firstLine="709"/>
        <w:jc w:val="both"/>
        <w:rPr>
          <w:lang w:val="uk-UA" w:eastAsia="uk-UA"/>
        </w:rPr>
      </w:pPr>
    </w:p>
    <w:p w:rsidR="00F16A4C" w:rsidRPr="00FC01DF" w:rsidRDefault="00F16A4C" w:rsidP="00F16A4C">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F16A4C" w:rsidRPr="00FC01DF" w:rsidRDefault="00F16A4C" w:rsidP="00F16A4C">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F16A4C" w:rsidRPr="00FC01DF" w:rsidRDefault="00F16A4C" w:rsidP="00F16A4C">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F16A4C" w:rsidRPr="00FC01DF" w:rsidRDefault="00F16A4C" w:rsidP="00F16A4C">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F16A4C" w:rsidRPr="00FC01DF" w:rsidRDefault="00F16A4C" w:rsidP="00F16A4C">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F16A4C" w:rsidRPr="00FC01DF" w:rsidRDefault="00F16A4C" w:rsidP="00F16A4C">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F16A4C" w:rsidRPr="00FC01DF" w:rsidRDefault="00F16A4C" w:rsidP="00F16A4C">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F16A4C" w:rsidRPr="00FC01DF" w:rsidRDefault="00F16A4C" w:rsidP="00F16A4C">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F16A4C" w:rsidRPr="00FC01DF" w:rsidRDefault="00F16A4C" w:rsidP="00F16A4C">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F16A4C" w:rsidRPr="00FC01DF" w:rsidRDefault="00F16A4C" w:rsidP="00F16A4C">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F16A4C" w:rsidRPr="00FC01DF" w:rsidRDefault="00F16A4C" w:rsidP="00F16A4C">
      <w:pPr>
        <w:ind w:firstLine="709"/>
        <w:jc w:val="both"/>
      </w:pPr>
    </w:p>
    <w:p w:rsidR="00F16A4C" w:rsidRPr="00FC01DF" w:rsidRDefault="00F16A4C" w:rsidP="00F16A4C">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F16A4C" w:rsidRPr="00FC01DF" w:rsidRDefault="00F16A4C" w:rsidP="00F16A4C">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16A4C" w:rsidRPr="00FC01DF" w:rsidRDefault="00F16A4C" w:rsidP="00F16A4C">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F16A4C" w:rsidRPr="00FC01DF" w:rsidRDefault="00F16A4C" w:rsidP="00F16A4C">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6A4C" w:rsidRPr="00FC01DF" w:rsidRDefault="00F16A4C" w:rsidP="00F16A4C">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16A4C" w:rsidRPr="00FC01DF" w:rsidRDefault="00F16A4C" w:rsidP="00F16A4C">
      <w:pPr>
        <w:tabs>
          <w:tab w:val="left" w:pos="1080"/>
        </w:tabs>
        <w:ind w:right="-62" w:firstLine="709"/>
        <w:jc w:val="both"/>
        <w:rPr>
          <w:lang w:val="uk-UA"/>
        </w:rPr>
      </w:pPr>
      <w:r w:rsidRPr="00FC01DF">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C01DF">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6A4C" w:rsidRPr="00FC01DF" w:rsidRDefault="00F16A4C" w:rsidP="00F16A4C">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F16A4C" w:rsidRPr="00FC01DF" w:rsidRDefault="00F16A4C" w:rsidP="00F16A4C">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6A4C" w:rsidRPr="00FC01DF" w:rsidRDefault="00F16A4C" w:rsidP="00F16A4C">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6A4C" w:rsidRPr="00FC01DF" w:rsidRDefault="00F16A4C" w:rsidP="00F96D49">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w:t>
      </w:r>
      <w:r w:rsidR="00F96D49">
        <w:rPr>
          <w:lang w:val="uk-UA"/>
        </w:rPr>
        <w:t>овленому порядку».</w:t>
      </w:r>
    </w:p>
    <w:p w:rsidR="00F16A4C" w:rsidRPr="00FC01DF" w:rsidRDefault="00F16A4C" w:rsidP="00F16A4C">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F16A4C" w:rsidRPr="00FC01DF" w:rsidRDefault="00F16A4C" w:rsidP="00F16A4C">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F96D49" w:rsidRDefault="00F16A4C" w:rsidP="00F16A4C">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F16A4C" w:rsidRPr="00F96D49" w:rsidRDefault="00F96D49" w:rsidP="00F16A4C">
      <w:pPr>
        <w:suppressAutoHyphens/>
        <w:spacing w:before="120" w:line="260" w:lineRule="exact"/>
        <w:ind w:firstLine="709"/>
        <w:jc w:val="both"/>
        <w:rPr>
          <w:lang w:val="uk-UA" w:eastAsia="ar-SA"/>
        </w:rPr>
      </w:pPr>
      <w:r w:rsidRPr="00F96D49">
        <w:rPr>
          <w:lang w:val="uk-UA" w:eastAsia="ar-SA"/>
        </w:rPr>
        <w:t>10.5. 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F16A4C" w:rsidRPr="00FC01DF" w:rsidRDefault="00F16A4C" w:rsidP="00F16A4C">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E62AA6">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F16A4C" w:rsidRPr="00FC01DF" w:rsidRDefault="00F16A4C" w:rsidP="00F16A4C">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150D62">
        <w:rPr>
          <w:rFonts w:eastAsia="Calibri"/>
          <w:lang w:val="uk-UA" w:eastAsia="en-US"/>
        </w:rPr>
        <w:t>7</w:t>
      </w:r>
      <w:r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F16A4C" w:rsidRPr="00FC01DF" w:rsidRDefault="00F16A4C" w:rsidP="00F16A4C">
      <w:pPr>
        <w:tabs>
          <w:tab w:val="left" w:pos="0"/>
        </w:tabs>
        <w:ind w:right="-62" w:firstLine="709"/>
        <w:jc w:val="both"/>
        <w:rPr>
          <w:rFonts w:eastAsia="Calibri"/>
          <w:lang w:val="uk-UA" w:eastAsia="en-US"/>
        </w:rPr>
      </w:pPr>
      <w:r w:rsidRPr="00FC01DF">
        <w:rPr>
          <w:rFonts w:eastAsia="Calibri"/>
          <w:lang w:val="x-none" w:eastAsia="en-US"/>
        </w:rPr>
        <w:t>10.</w:t>
      </w:r>
      <w:r w:rsidR="00150D62">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F16A4C" w:rsidRPr="00FC01DF" w:rsidRDefault="00150D62" w:rsidP="00F16A4C">
      <w:pPr>
        <w:tabs>
          <w:tab w:val="left" w:pos="0"/>
        </w:tabs>
        <w:ind w:right="-62" w:firstLine="709"/>
        <w:jc w:val="both"/>
        <w:rPr>
          <w:rFonts w:eastAsia="Calibri"/>
          <w:lang w:val="uk-UA" w:eastAsia="en-US"/>
        </w:rPr>
      </w:pPr>
      <w:r>
        <w:rPr>
          <w:rFonts w:eastAsia="Calibri"/>
          <w:lang w:val="uk-UA" w:eastAsia="en-US"/>
        </w:rPr>
        <w:lastRenderedPageBreak/>
        <w:t>10.9</w:t>
      </w:r>
      <w:r w:rsidR="00F16A4C"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F16A4C" w:rsidRPr="00FC01DF" w:rsidRDefault="00150D62" w:rsidP="00F16A4C">
      <w:pPr>
        <w:tabs>
          <w:tab w:val="left" w:pos="0"/>
        </w:tabs>
        <w:ind w:right="-62" w:firstLine="709"/>
        <w:jc w:val="both"/>
        <w:rPr>
          <w:rFonts w:eastAsia="Calibri"/>
          <w:lang w:val="uk-UA" w:eastAsia="en-US"/>
        </w:rPr>
      </w:pPr>
      <w:r>
        <w:rPr>
          <w:rFonts w:eastAsia="Calibri"/>
          <w:lang w:val="uk-UA" w:eastAsia="en-US"/>
        </w:rPr>
        <w:t>10.10</w:t>
      </w:r>
      <w:r w:rsidR="00F16A4C"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F16A4C" w:rsidRPr="00FC01DF" w:rsidRDefault="00F16A4C" w:rsidP="00F16A4C">
      <w:pPr>
        <w:tabs>
          <w:tab w:val="left" w:pos="0"/>
        </w:tabs>
        <w:ind w:right="-62" w:firstLine="709"/>
        <w:jc w:val="both"/>
        <w:rPr>
          <w:rFonts w:eastAsia="Calibri"/>
          <w:lang w:val="uk-UA" w:eastAsia="en-US"/>
        </w:rPr>
      </w:pPr>
    </w:p>
    <w:p w:rsidR="00F16A4C" w:rsidRPr="00FC01DF" w:rsidRDefault="00F16A4C" w:rsidP="00F16A4C">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F16A4C" w:rsidRPr="00FC01DF" w:rsidTr="009F36F6">
        <w:tc>
          <w:tcPr>
            <w:tcW w:w="4253" w:type="dxa"/>
          </w:tcPr>
          <w:p w:rsidR="00F16A4C" w:rsidRPr="00FC01DF" w:rsidRDefault="00F16A4C" w:rsidP="00F16A4C">
            <w:pPr>
              <w:keepNext/>
              <w:keepLines/>
              <w:ind w:firstLine="709"/>
              <w:outlineLvl w:val="7"/>
              <w:rPr>
                <w:b/>
                <w:i/>
                <w:lang w:val="uk-UA" w:eastAsia="uk-UA"/>
              </w:rPr>
            </w:pPr>
            <w:r w:rsidRPr="00FC01DF">
              <w:rPr>
                <w:b/>
                <w:i/>
                <w:lang w:val="uk-UA" w:eastAsia="uk-UA"/>
              </w:rPr>
              <w:t>ПОСТАЧАЛЬНИК:</w:t>
            </w:r>
          </w:p>
          <w:p w:rsidR="00F16A4C" w:rsidRDefault="00F16A4C" w:rsidP="00F16A4C">
            <w:pPr>
              <w:ind w:firstLine="709"/>
              <w:rPr>
                <w:rFonts w:eastAsia="Calibri"/>
                <w:b/>
                <w:lang w:val="uk-UA" w:eastAsia="en-US"/>
              </w:rPr>
            </w:pPr>
          </w:p>
          <w:p w:rsidR="00F16A4C" w:rsidRDefault="00F16A4C" w:rsidP="00F16A4C">
            <w:pPr>
              <w:ind w:firstLine="709"/>
              <w:rPr>
                <w:rFonts w:eastAsia="Calibri"/>
                <w:b/>
                <w:lang w:val="uk-UA" w:eastAsia="en-US"/>
              </w:rPr>
            </w:pPr>
          </w:p>
          <w:p w:rsidR="00F16A4C" w:rsidRPr="00FC01DF" w:rsidRDefault="00F16A4C" w:rsidP="00F16A4C">
            <w:pPr>
              <w:ind w:firstLine="709"/>
              <w:rPr>
                <w:rFonts w:eastAsia="Calibri"/>
                <w:b/>
                <w:lang w:val="uk-UA" w:eastAsia="en-US"/>
              </w:rPr>
            </w:pPr>
          </w:p>
          <w:p w:rsidR="00F16A4C" w:rsidRPr="00FC01DF" w:rsidRDefault="00F16A4C" w:rsidP="00F16A4C">
            <w:pPr>
              <w:spacing w:after="200" w:line="276" w:lineRule="auto"/>
              <w:rPr>
                <w:rFonts w:eastAsia="Calibri"/>
                <w:lang w:val="uk-UA" w:eastAsia="en-US"/>
              </w:rPr>
            </w:pPr>
          </w:p>
          <w:p w:rsidR="00F16A4C" w:rsidRPr="00FC01DF" w:rsidRDefault="00F16A4C" w:rsidP="00F16A4C">
            <w:pPr>
              <w:spacing w:after="200" w:line="276" w:lineRule="auto"/>
              <w:rPr>
                <w:rFonts w:eastAsia="Calibri"/>
                <w:lang w:val="uk-UA" w:eastAsia="en-US"/>
              </w:rPr>
            </w:pPr>
          </w:p>
          <w:p w:rsidR="00F16A4C" w:rsidRPr="00F42D03" w:rsidRDefault="00F16A4C" w:rsidP="00F16A4C">
            <w:pPr>
              <w:spacing w:after="200" w:line="276" w:lineRule="auto"/>
              <w:rPr>
                <w:rFonts w:eastAsia="Calibri"/>
                <w:lang w:val="en-US" w:eastAsia="en-US"/>
              </w:rPr>
            </w:pPr>
            <w:r>
              <w:rPr>
                <w:rFonts w:eastAsia="Calibri"/>
                <w:lang w:val="en-US" w:eastAsia="en-US"/>
              </w:rPr>
              <w:t xml:space="preserve">              </w:t>
            </w:r>
          </w:p>
          <w:p w:rsidR="00F16A4C" w:rsidRPr="00FC01DF" w:rsidRDefault="00F16A4C" w:rsidP="00F16A4C">
            <w:pPr>
              <w:spacing w:after="200" w:line="276" w:lineRule="auto"/>
              <w:ind w:firstLine="708"/>
              <w:rPr>
                <w:rFonts w:eastAsia="Calibri"/>
                <w:lang w:val="uk-UA" w:eastAsia="en-US"/>
              </w:rPr>
            </w:pPr>
          </w:p>
        </w:tc>
        <w:tc>
          <w:tcPr>
            <w:tcW w:w="5040" w:type="dxa"/>
          </w:tcPr>
          <w:p w:rsidR="00F16A4C" w:rsidRPr="00FC01DF" w:rsidRDefault="009F36F6" w:rsidP="009F36F6">
            <w:pPr>
              <w:ind w:hanging="6"/>
              <w:rPr>
                <w:rFonts w:eastAsia="Calibri"/>
                <w:b/>
                <w:i/>
                <w:caps/>
                <w:lang w:val="uk-UA" w:eastAsia="en-US"/>
              </w:rPr>
            </w:pPr>
            <w:r>
              <w:rPr>
                <w:rFonts w:eastAsia="Calibri"/>
                <w:b/>
                <w:i/>
                <w:caps/>
                <w:lang w:val="uk-UA" w:eastAsia="en-US"/>
              </w:rPr>
              <w:t xml:space="preserve">             </w:t>
            </w:r>
            <w:r w:rsidR="00F16A4C" w:rsidRPr="00FC01DF">
              <w:rPr>
                <w:rFonts w:eastAsia="Calibri"/>
                <w:b/>
                <w:i/>
                <w:caps/>
                <w:lang w:val="uk-UA" w:eastAsia="en-US"/>
              </w:rPr>
              <w:t>Покупець:</w:t>
            </w:r>
          </w:p>
          <w:p w:rsidR="009F36F6" w:rsidRPr="00FC01DF" w:rsidRDefault="009F36F6" w:rsidP="009F36F6">
            <w:pPr>
              <w:ind w:left="-108" w:right="-249" w:hanging="6"/>
              <w:rPr>
                <w:rFonts w:eastAsia="Calibri"/>
                <w:b/>
                <w:lang w:val="uk-UA" w:eastAsia="en-US"/>
              </w:rPr>
            </w:pPr>
            <w:r>
              <w:rPr>
                <w:rFonts w:eastAsia="Calibri"/>
                <w:b/>
                <w:lang w:val="uk-UA" w:eastAsia="en-US"/>
              </w:rPr>
              <w:t xml:space="preserve">          ДКП «</w:t>
            </w:r>
            <w:r w:rsidRPr="00FC01DF">
              <w:rPr>
                <w:rFonts w:eastAsia="Calibri"/>
                <w:b/>
                <w:lang w:val="uk-UA" w:eastAsia="en-US"/>
              </w:rPr>
              <w:t>Луцьктепло</w:t>
            </w:r>
            <w:r>
              <w:rPr>
                <w:rFonts w:eastAsia="Calibri"/>
                <w:b/>
                <w:lang w:val="uk-UA" w:eastAsia="en-US"/>
              </w:rPr>
              <w:t>»</w:t>
            </w:r>
          </w:p>
          <w:p w:rsidR="009F36F6" w:rsidRPr="00FC01DF" w:rsidRDefault="009F36F6" w:rsidP="009F36F6">
            <w:pPr>
              <w:ind w:left="-108" w:right="-249" w:hanging="6"/>
              <w:rPr>
                <w:lang w:val="uk-UA"/>
              </w:rPr>
            </w:pPr>
            <w:r>
              <w:rPr>
                <w:lang w:val="uk-UA"/>
              </w:rPr>
              <w:t xml:space="preserve"> </w:t>
            </w:r>
            <w:r w:rsidRPr="00FC01DF">
              <w:rPr>
                <w:lang w:val="uk-UA"/>
              </w:rPr>
              <w:t>43005, м. Луцьк, вул. Гулака-Артемовського, 20</w:t>
            </w:r>
          </w:p>
          <w:p w:rsidR="009F36F6" w:rsidRPr="00FC01DF" w:rsidRDefault="009F36F6" w:rsidP="009F36F6">
            <w:pPr>
              <w:ind w:left="-108" w:right="-249" w:hanging="6"/>
              <w:rPr>
                <w:lang w:val="uk-UA"/>
              </w:rPr>
            </w:pPr>
            <w:r w:rsidRPr="00FC01DF">
              <w:rPr>
                <w:lang w:val="uk-UA"/>
              </w:rPr>
              <w:t xml:space="preserve"> Код ЄДРПОУ 30391925</w:t>
            </w:r>
          </w:p>
          <w:p w:rsidR="009F36F6" w:rsidRPr="00FC01DF" w:rsidRDefault="009F36F6" w:rsidP="009F36F6">
            <w:pPr>
              <w:ind w:left="-108" w:right="-249" w:hanging="6"/>
              <w:rPr>
                <w:lang w:val="uk-UA"/>
              </w:rPr>
            </w:pPr>
            <w:r>
              <w:rPr>
                <w:lang w:val="uk-UA"/>
              </w:rPr>
              <w:t xml:space="preserve"> </w:t>
            </w:r>
            <w:r w:rsidRPr="00FC01DF">
              <w:rPr>
                <w:lang w:val="uk-UA"/>
              </w:rPr>
              <w:t>Банківські реквізити:</w:t>
            </w:r>
            <w:r>
              <w:rPr>
                <w:lang w:val="uk-UA"/>
              </w:rPr>
              <w:t xml:space="preserve"> </w:t>
            </w:r>
          </w:p>
          <w:p w:rsidR="009F36F6" w:rsidRPr="00FC01DF" w:rsidRDefault="009F36F6" w:rsidP="009F36F6">
            <w:pPr>
              <w:ind w:left="-108" w:right="-249" w:hanging="6"/>
              <w:rPr>
                <w:lang w:val="uk-UA"/>
              </w:rPr>
            </w:pPr>
            <w:r>
              <w:rPr>
                <w:lang w:val="uk-UA"/>
              </w:rPr>
              <w:t xml:space="preserve"> </w:t>
            </w:r>
            <w:r w:rsidRPr="00FC01DF">
              <w:rPr>
                <w:lang w:val="uk-UA"/>
              </w:rPr>
              <w:t>IBAN UA263204780000000026009252571</w:t>
            </w:r>
          </w:p>
          <w:p w:rsidR="009F36F6" w:rsidRPr="00FC01DF" w:rsidRDefault="009F36F6" w:rsidP="009F36F6">
            <w:pPr>
              <w:ind w:left="-222" w:right="-249"/>
              <w:rPr>
                <w:lang w:val="uk-UA"/>
              </w:rPr>
            </w:pPr>
            <w:r w:rsidRPr="00FC01DF">
              <w:rPr>
                <w:lang w:val="uk-UA"/>
              </w:rPr>
              <w:t xml:space="preserve">  </w:t>
            </w:r>
            <w:r>
              <w:rPr>
                <w:lang w:val="uk-UA"/>
              </w:rPr>
              <w:t xml:space="preserve"> </w:t>
            </w:r>
            <w:r w:rsidRPr="00FC01DF">
              <w:rPr>
                <w:lang w:val="uk-UA"/>
              </w:rPr>
              <w:t>в АБ «УКРГАЗБАНК» м. Київ</w:t>
            </w:r>
          </w:p>
          <w:p w:rsidR="009F36F6" w:rsidRPr="00FC01DF" w:rsidRDefault="009F36F6" w:rsidP="009F36F6">
            <w:pPr>
              <w:ind w:left="-222" w:right="-249"/>
              <w:rPr>
                <w:lang w:val="uk-UA"/>
              </w:rPr>
            </w:pPr>
            <w:proofErr w:type="gramStart"/>
            <w:r w:rsidRPr="00FC01DF">
              <w:rPr>
                <w:lang w:val="en-US"/>
              </w:rPr>
              <w:t>I</w:t>
            </w:r>
            <w:r w:rsidRPr="00FC01DF">
              <w:rPr>
                <w:lang w:val="uk-UA"/>
              </w:rPr>
              <w:t xml:space="preserve"> </w:t>
            </w:r>
            <w:r>
              <w:rPr>
                <w:lang w:val="uk-UA"/>
              </w:rPr>
              <w:t xml:space="preserve"> </w:t>
            </w:r>
            <w:r w:rsidRPr="00FC01DF">
              <w:rPr>
                <w:lang w:val="en-US"/>
              </w:rPr>
              <w:t>IBAN</w:t>
            </w:r>
            <w:proofErr w:type="gramEnd"/>
            <w:r w:rsidRPr="00FC01DF">
              <w:rPr>
                <w:lang w:val="uk-UA"/>
              </w:rPr>
              <w:t xml:space="preserve"> </w:t>
            </w:r>
            <w:r w:rsidRPr="00FC01DF">
              <w:rPr>
                <w:lang w:val="en-US"/>
              </w:rPr>
              <w:t>UA</w:t>
            </w:r>
            <w:r w:rsidRPr="00FC01DF">
              <w:rPr>
                <w:lang w:val="uk-UA"/>
              </w:rPr>
              <w:t>688201720355339896000035009</w:t>
            </w:r>
          </w:p>
          <w:p w:rsidR="009F36F6" w:rsidRPr="00FC01DF" w:rsidRDefault="009F36F6" w:rsidP="009F36F6">
            <w:pPr>
              <w:ind w:left="-222" w:right="-249"/>
              <w:rPr>
                <w:lang w:val="uk-UA"/>
              </w:rPr>
            </w:pPr>
            <w:r w:rsidRPr="00FC01DF">
              <w:rPr>
                <w:lang w:val="uk-UA"/>
              </w:rPr>
              <w:t xml:space="preserve">  </w:t>
            </w:r>
            <w:r>
              <w:rPr>
                <w:lang w:val="uk-UA"/>
              </w:rPr>
              <w:t xml:space="preserve"> </w:t>
            </w:r>
            <w:r w:rsidRPr="00FC01DF">
              <w:rPr>
                <w:lang w:val="uk-UA"/>
              </w:rPr>
              <w:t>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9F36F6" w:rsidRPr="00FC01DF" w:rsidRDefault="009F36F6" w:rsidP="009F36F6">
            <w:pPr>
              <w:ind w:left="-222" w:right="-249"/>
              <w:rPr>
                <w:lang w:val="uk-UA"/>
              </w:rPr>
            </w:pPr>
            <w:r w:rsidRPr="00FC01DF">
              <w:rPr>
                <w:lang w:val="uk-UA"/>
              </w:rPr>
              <w:t xml:space="preserve">  </w:t>
            </w:r>
            <w:r>
              <w:rPr>
                <w:lang w:val="uk-UA"/>
              </w:rPr>
              <w:t xml:space="preserve"> </w:t>
            </w:r>
            <w:r w:rsidRPr="00FC01DF">
              <w:rPr>
                <w:lang w:val="uk-UA"/>
              </w:rPr>
              <w:t>УДКСУ у м.</w:t>
            </w:r>
            <w:r w:rsidRPr="00FC01DF">
              <w:t xml:space="preserve"> </w:t>
            </w:r>
            <w:r w:rsidRPr="00FC01DF">
              <w:rPr>
                <w:lang w:val="uk-UA"/>
              </w:rPr>
              <w:t>Луцьку</w:t>
            </w:r>
          </w:p>
          <w:p w:rsidR="009F36F6" w:rsidRPr="00FC01DF" w:rsidRDefault="009F36F6" w:rsidP="009F36F6">
            <w:pPr>
              <w:ind w:left="-108" w:right="-249" w:hanging="6"/>
              <w:rPr>
                <w:lang w:val="uk-UA"/>
              </w:rPr>
            </w:pPr>
            <w:r>
              <w:rPr>
                <w:lang w:val="uk-UA"/>
              </w:rPr>
              <w:t xml:space="preserve"> </w:t>
            </w:r>
            <w:r w:rsidRPr="00FC01DF">
              <w:rPr>
                <w:lang w:val="uk-UA"/>
              </w:rPr>
              <w:t>ІПН №303919203177</w:t>
            </w:r>
          </w:p>
          <w:p w:rsidR="009F36F6" w:rsidRPr="00FC01DF" w:rsidRDefault="009F36F6" w:rsidP="009F36F6">
            <w:pPr>
              <w:ind w:left="-108" w:right="-249" w:hanging="6"/>
              <w:rPr>
                <w:lang w:val="uk-UA"/>
              </w:rPr>
            </w:pPr>
            <w:r>
              <w:rPr>
                <w:lang w:val="uk-UA"/>
              </w:rPr>
              <w:t xml:space="preserve"> </w:t>
            </w:r>
            <w:r w:rsidRPr="00FC01DF">
              <w:rPr>
                <w:lang w:val="uk-UA"/>
              </w:rPr>
              <w:t>Св. №02805459</w:t>
            </w:r>
          </w:p>
          <w:p w:rsidR="009F36F6" w:rsidRPr="00FC01DF" w:rsidRDefault="009F36F6" w:rsidP="009F36F6">
            <w:pPr>
              <w:ind w:left="-108" w:right="-249" w:hanging="6"/>
              <w:rPr>
                <w:rFonts w:eastAsia="Calibri"/>
                <w:lang w:val="uk-UA" w:eastAsia="en-US"/>
              </w:rPr>
            </w:pPr>
            <w:r>
              <w:rPr>
                <w:lang w:val="uk-UA"/>
              </w:rPr>
              <w:t xml:space="preserve"> </w:t>
            </w:r>
            <w:r w:rsidRPr="00FC01DF">
              <w:rPr>
                <w:lang w:val="uk-UA"/>
              </w:rPr>
              <w:t>Тел.: (0332) 28-30-70</w:t>
            </w:r>
          </w:p>
          <w:p w:rsidR="009F36F6" w:rsidRDefault="009F36F6" w:rsidP="009F36F6">
            <w:pPr>
              <w:rPr>
                <w:rFonts w:eastAsia="Calibri"/>
                <w:lang w:val="uk-UA" w:eastAsia="en-US"/>
              </w:rPr>
            </w:pPr>
          </w:p>
          <w:p w:rsidR="00F16A4C" w:rsidRPr="00FC01DF" w:rsidRDefault="009F36F6" w:rsidP="009F36F6">
            <w:pPr>
              <w:rPr>
                <w:rFonts w:eastAsia="Calibri"/>
                <w:b/>
                <w:i/>
                <w:caps/>
                <w:lang w:val="uk-UA" w:eastAsia="en-US"/>
              </w:rPr>
            </w:pPr>
            <w:r w:rsidRPr="00FC01DF">
              <w:rPr>
                <w:rFonts w:eastAsia="Calibri"/>
                <w:b/>
                <w:lang w:val="uk-UA" w:eastAsia="en-US"/>
              </w:rPr>
              <w:t>Директор____________ Іван Скорупський</w:t>
            </w:r>
          </w:p>
          <w:p w:rsidR="00F16A4C" w:rsidRPr="009F36F6" w:rsidRDefault="00F16A4C" w:rsidP="009F36F6">
            <w:pPr>
              <w:ind w:left="-108" w:right="-249" w:hanging="6"/>
              <w:rPr>
                <w:rFonts w:eastAsia="Calibri"/>
                <w:b/>
                <w:lang w:val="uk-UA" w:eastAsia="en-US"/>
              </w:rPr>
            </w:pPr>
            <w:r w:rsidRPr="00FC01DF">
              <w:rPr>
                <w:rFonts w:eastAsia="Calibri"/>
                <w:b/>
                <w:lang w:val="uk-UA" w:eastAsia="en-US"/>
              </w:rPr>
              <w:t xml:space="preserve">              </w:t>
            </w:r>
          </w:p>
          <w:p w:rsidR="00F16A4C" w:rsidRPr="009F36F6" w:rsidRDefault="00F16A4C" w:rsidP="00F16A4C">
            <w:pPr>
              <w:tabs>
                <w:tab w:val="left" w:pos="1252"/>
              </w:tabs>
              <w:rPr>
                <w:rFonts w:eastAsia="Calibri"/>
                <w:lang w:eastAsia="en-US"/>
              </w:rPr>
            </w:pPr>
            <w:r>
              <w:rPr>
                <w:rFonts w:eastAsia="Calibri"/>
                <w:lang w:val="uk-UA" w:eastAsia="en-US"/>
              </w:rPr>
              <w:tab/>
            </w:r>
          </w:p>
        </w:tc>
      </w:tr>
    </w:tbl>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Pr="00FC01DF" w:rsidRDefault="00F16A4C" w:rsidP="00F16A4C">
      <w:pPr>
        <w:spacing w:before="240"/>
        <w:jc w:val="both"/>
        <w:rPr>
          <w:rFonts w:ascii="Calibri" w:eastAsia="Calibri" w:hAnsi="Calibri"/>
          <w:lang w:val="uk-UA" w:eastAsia="en-US"/>
        </w:rPr>
      </w:pPr>
    </w:p>
    <w:p w:rsidR="00F16A4C" w:rsidRDefault="00F16A4C" w:rsidP="00F16A4C">
      <w:pPr>
        <w:spacing w:before="240"/>
        <w:jc w:val="both"/>
        <w:rPr>
          <w:rFonts w:ascii="Calibri" w:eastAsia="Calibri" w:hAnsi="Calibri"/>
          <w:lang w:eastAsia="en-US"/>
        </w:rPr>
      </w:pPr>
    </w:p>
    <w:p w:rsidR="00F16A4C" w:rsidRDefault="00F16A4C" w:rsidP="00F16A4C">
      <w:pPr>
        <w:spacing w:before="240"/>
        <w:jc w:val="both"/>
        <w:rPr>
          <w:rFonts w:ascii="Calibri" w:eastAsia="Calibri" w:hAnsi="Calibri"/>
          <w:lang w:eastAsia="en-US"/>
        </w:rPr>
      </w:pPr>
    </w:p>
    <w:p w:rsidR="00F16A4C" w:rsidRDefault="00F16A4C" w:rsidP="00F16A4C">
      <w:pPr>
        <w:spacing w:before="240"/>
        <w:jc w:val="both"/>
        <w:rPr>
          <w:rFonts w:ascii="Calibri" w:eastAsia="Calibri" w:hAnsi="Calibri"/>
          <w:lang w:eastAsia="en-US"/>
        </w:rPr>
      </w:pPr>
    </w:p>
    <w:p w:rsidR="00F16A4C" w:rsidRDefault="00F16A4C" w:rsidP="00F16A4C">
      <w:pPr>
        <w:spacing w:before="240"/>
        <w:jc w:val="both"/>
        <w:rPr>
          <w:rFonts w:ascii="Calibri" w:eastAsia="Calibri" w:hAnsi="Calibri"/>
          <w:lang w:eastAsia="en-US"/>
        </w:rPr>
      </w:pPr>
    </w:p>
    <w:p w:rsidR="00F16A4C" w:rsidRDefault="00F16A4C" w:rsidP="00F16A4C">
      <w:pPr>
        <w:spacing w:before="240"/>
        <w:jc w:val="both"/>
        <w:rPr>
          <w:rFonts w:ascii="Calibri" w:eastAsia="Calibri" w:hAnsi="Calibri"/>
          <w:lang w:eastAsia="en-US"/>
        </w:rPr>
      </w:pPr>
    </w:p>
    <w:p w:rsidR="00F16A4C" w:rsidRPr="00FC01DF" w:rsidRDefault="00F16A4C" w:rsidP="00F16A4C">
      <w:pPr>
        <w:spacing w:before="240"/>
        <w:jc w:val="both"/>
        <w:rPr>
          <w:rFonts w:ascii="Calibri" w:eastAsia="Calibri" w:hAnsi="Calibri"/>
          <w:lang w:eastAsia="en-US"/>
        </w:rPr>
      </w:pPr>
    </w:p>
    <w:p w:rsidR="00F16A4C" w:rsidRPr="00FC01DF" w:rsidRDefault="00F16A4C" w:rsidP="00F16A4C">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F16A4C" w:rsidRPr="00FC01DF" w:rsidRDefault="00F16A4C" w:rsidP="00F16A4C">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F16A4C" w:rsidRPr="00FC01DF" w:rsidRDefault="00F16A4C" w:rsidP="00F16A4C">
      <w:pPr>
        <w:spacing w:before="240"/>
        <w:jc w:val="both"/>
        <w:rPr>
          <w:rFonts w:eastAsia="Calibri"/>
          <w:lang w:val="uk-UA" w:eastAsia="en-US"/>
        </w:rPr>
      </w:pPr>
      <w:r w:rsidRPr="00FC01DF">
        <w:rPr>
          <w:rFonts w:eastAsia="Calibri"/>
          <w:b/>
          <w:lang w:val="uk-UA" w:eastAsia="en-US"/>
        </w:rPr>
        <w:t xml:space="preserve">                                                    </w:t>
      </w:r>
    </w:p>
    <w:p w:rsidR="00F16A4C" w:rsidRPr="00FC01DF" w:rsidRDefault="00F16A4C" w:rsidP="00F16A4C">
      <w:pPr>
        <w:spacing w:before="240"/>
        <w:jc w:val="both"/>
        <w:rPr>
          <w:rFonts w:eastAsia="Calibri"/>
          <w:lang w:val="uk-UA" w:eastAsia="en-US"/>
        </w:rPr>
      </w:pPr>
    </w:p>
    <w:p w:rsidR="00F16A4C" w:rsidRPr="00FC01DF" w:rsidRDefault="00F16A4C" w:rsidP="00F16A4C">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1"/>
        <w:tblW w:w="0" w:type="auto"/>
        <w:tblLook w:val="04A0" w:firstRow="1" w:lastRow="0" w:firstColumn="1" w:lastColumn="0" w:noHBand="0" w:noVBand="1"/>
      </w:tblPr>
      <w:tblGrid>
        <w:gridCol w:w="458"/>
        <w:gridCol w:w="3415"/>
        <w:gridCol w:w="939"/>
        <w:gridCol w:w="1236"/>
        <w:gridCol w:w="1825"/>
        <w:gridCol w:w="1806"/>
      </w:tblGrid>
      <w:tr w:rsidR="00F16A4C" w:rsidRPr="00FC01DF" w:rsidTr="00F16A4C">
        <w:trPr>
          <w:trHeight w:val="1060"/>
        </w:trPr>
        <w:tc>
          <w:tcPr>
            <w:tcW w:w="458" w:type="dxa"/>
            <w:vAlign w:val="center"/>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F16A4C" w:rsidRPr="00FC01DF" w:rsidRDefault="00F16A4C" w:rsidP="00F16A4C">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F16A4C" w:rsidRPr="00FC01DF" w:rsidTr="00F16A4C">
        <w:trPr>
          <w:trHeight w:val="552"/>
        </w:trPr>
        <w:tc>
          <w:tcPr>
            <w:tcW w:w="458" w:type="dxa"/>
            <w:vAlign w:val="center"/>
          </w:tcPr>
          <w:p w:rsidR="00F16A4C" w:rsidRPr="00FC01DF" w:rsidRDefault="00F16A4C" w:rsidP="00F16A4C">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F16A4C" w:rsidRPr="00FC01DF" w:rsidRDefault="00F16A4C" w:rsidP="00F16A4C">
            <w:pPr>
              <w:spacing w:after="200" w:line="276" w:lineRule="auto"/>
              <w:jc w:val="center"/>
              <w:rPr>
                <w:rFonts w:eastAsia="Calibri"/>
                <w:lang w:val="uk-UA" w:eastAsia="en-US"/>
              </w:rPr>
            </w:pPr>
          </w:p>
        </w:tc>
        <w:tc>
          <w:tcPr>
            <w:tcW w:w="939" w:type="dxa"/>
            <w:vAlign w:val="center"/>
          </w:tcPr>
          <w:p w:rsidR="00F16A4C" w:rsidRPr="00FC01DF" w:rsidRDefault="00F16A4C" w:rsidP="00F16A4C">
            <w:pPr>
              <w:spacing w:after="200" w:line="276" w:lineRule="auto"/>
              <w:jc w:val="center"/>
              <w:rPr>
                <w:rFonts w:eastAsia="Calibri"/>
                <w:lang w:val="uk-UA" w:eastAsia="en-US"/>
              </w:rPr>
            </w:pPr>
          </w:p>
        </w:tc>
        <w:tc>
          <w:tcPr>
            <w:tcW w:w="1236" w:type="dxa"/>
            <w:vAlign w:val="center"/>
          </w:tcPr>
          <w:p w:rsidR="00F16A4C" w:rsidRPr="00FC01DF" w:rsidRDefault="00F16A4C" w:rsidP="00F16A4C">
            <w:pPr>
              <w:spacing w:after="200" w:line="276" w:lineRule="auto"/>
              <w:jc w:val="center"/>
              <w:rPr>
                <w:rFonts w:eastAsia="Calibri"/>
                <w:lang w:val="uk-UA" w:eastAsia="en-US"/>
              </w:rPr>
            </w:pPr>
          </w:p>
        </w:tc>
        <w:tc>
          <w:tcPr>
            <w:tcW w:w="1825" w:type="dxa"/>
          </w:tcPr>
          <w:p w:rsidR="00F16A4C" w:rsidRPr="00FC01DF" w:rsidRDefault="00F16A4C" w:rsidP="00F16A4C">
            <w:pPr>
              <w:spacing w:after="200" w:line="276" w:lineRule="auto"/>
              <w:jc w:val="center"/>
              <w:rPr>
                <w:rFonts w:eastAsia="Calibri"/>
                <w:lang w:val="uk-UA" w:eastAsia="en-US"/>
              </w:rPr>
            </w:pPr>
          </w:p>
        </w:tc>
        <w:tc>
          <w:tcPr>
            <w:tcW w:w="1806" w:type="dxa"/>
          </w:tcPr>
          <w:p w:rsidR="00F16A4C" w:rsidRPr="00FC01DF" w:rsidRDefault="00F16A4C" w:rsidP="00F16A4C">
            <w:pPr>
              <w:spacing w:after="200" w:line="276" w:lineRule="auto"/>
              <w:jc w:val="center"/>
              <w:rPr>
                <w:rFonts w:eastAsia="Calibri"/>
                <w:lang w:val="uk-UA" w:eastAsia="en-US"/>
              </w:rPr>
            </w:pPr>
          </w:p>
        </w:tc>
      </w:tr>
      <w:tr w:rsidR="00F16A4C" w:rsidRPr="00FC01DF" w:rsidTr="00F16A4C">
        <w:trPr>
          <w:trHeight w:val="552"/>
        </w:trPr>
        <w:tc>
          <w:tcPr>
            <w:tcW w:w="458" w:type="dxa"/>
            <w:vAlign w:val="center"/>
          </w:tcPr>
          <w:p w:rsidR="00F16A4C" w:rsidRPr="00FC01DF" w:rsidRDefault="009F36F6" w:rsidP="00F16A4C">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F16A4C" w:rsidRPr="00FC01DF" w:rsidRDefault="00F16A4C" w:rsidP="00F16A4C">
            <w:pPr>
              <w:spacing w:after="200" w:line="276" w:lineRule="auto"/>
              <w:jc w:val="center"/>
              <w:rPr>
                <w:rFonts w:eastAsia="Calibri"/>
                <w:lang w:val="uk-UA" w:eastAsia="en-US"/>
              </w:rPr>
            </w:pPr>
          </w:p>
        </w:tc>
        <w:tc>
          <w:tcPr>
            <w:tcW w:w="939" w:type="dxa"/>
            <w:vAlign w:val="center"/>
          </w:tcPr>
          <w:p w:rsidR="00F16A4C" w:rsidRPr="00FC01DF" w:rsidRDefault="00F16A4C" w:rsidP="00F16A4C">
            <w:pPr>
              <w:spacing w:after="200" w:line="276" w:lineRule="auto"/>
              <w:jc w:val="center"/>
              <w:rPr>
                <w:rFonts w:eastAsia="Calibri"/>
                <w:lang w:val="uk-UA" w:eastAsia="en-US"/>
              </w:rPr>
            </w:pPr>
          </w:p>
        </w:tc>
        <w:tc>
          <w:tcPr>
            <w:tcW w:w="1236" w:type="dxa"/>
            <w:vAlign w:val="center"/>
          </w:tcPr>
          <w:p w:rsidR="00F16A4C" w:rsidRPr="00FC01DF" w:rsidRDefault="00F16A4C" w:rsidP="00F16A4C">
            <w:pPr>
              <w:spacing w:after="200" w:line="276" w:lineRule="auto"/>
              <w:jc w:val="center"/>
              <w:rPr>
                <w:rFonts w:eastAsia="Calibri"/>
                <w:lang w:val="uk-UA" w:eastAsia="en-US"/>
              </w:rPr>
            </w:pPr>
          </w:p>
        </w:tc>
        <w:tc>
          <w:tcPr>
            <w:tcW w:w="1825" w:type="dxa"/>
          </w:tcPr>
          <w:p w:rsidR="00F16A4C" w:rsidRPr="00FC01DF" w:rsidRDefault="00F16A4C" w:rsidP="00F16A4C">
            <w:pPr>
              <w:spacing w:after="200" w:line="276" w:lineRule="auto"/>
              <w:jc w:val="center"/>
              <w:rPr>
                <w:rFonts w:eastAsia="Calibri"/>
                <w:lang w:val="uk-UA" w:eastAsia="en-US"/>
              </w:rPr>
            </w:pPr>
          </w:p>
        </w:tc>
        <w:tc>
          <w:tcPr>
            <w:tcW w:w="1806" w:type="dxa"/>
          </w:tcPr>
          <w:p w:rsidR="00F16A4C" w:rsidRPr="00FC01DF" w:rsidRDefault="00F16A4C" w:rsidP="00F16A4C">
            <w:pPr>
              <w:spacing w:after="200" w:line="276" w:lineRule="auto"/>
              <w:jc w:val="center"/>
              <w:rPr>
                <w:rFonts w:eastAsia="Calibri"/>
                <w:lang w:val="uk-UA" w:eastAsia="en-US"/>
              </w:rPr>
            </w:pPr>
          </w:p>
        </w:tc>
      </w:tr>
      <w:tr w:rsidR="00F16A4C" w:rsidRPr="00FC01DF" w:rsidTr="00F16A4C">
        <w:trPr>
          <w:trHeight w:val="552"/>
        </w:trPr>
        <w:tc>
          <w:tcPr>
            <w:tcW w:w="458" w:type="dxa"/>
            <w:vAlign w:val="center"/>
          </w:tcPr>
          <w:p w:rsidR="00F16A4C" w:rsidRPr="00FC01DF" w:rsidRDefault="009F36F6" w:rsidP="00F16A4C">
            <w:pPr>
              <w:spacing w:after="200" w:line="276" w:lineRule="auto"/>
              <w:jc w:val="center"/>
              <w:rPr>
                <w:rFonts w:eastAsia="Calibri"/>
                <w:lang w:val="uk-UA" w:eastAsia="en-US"/>
              </w:rPr>
            </w:pPr>
            <w:r>
              <w:rPr>
                <w:rFonts w:eastAsia="Calibri"/>
                <w:lang w:val="uk-UA" w:eastAsia="en-US"/>
              </w:rPr>
              <w:t>3</w:t>
            </w:r>
          </w:p>
        </w:tc>
        <w:tc>
          <w:tcPr>
            <w:tcW w:w="3415" w:type="dxa"/>
            <w:vAlign w:val="center"/>
          </w:tcPr>
          <w:p w:rsidR="00F16A4C" w:rsidRPr="00FC01DF" w:rsidRDefault="00F16A4C" w:rsidP="00F16A4C">
            <w:pPr>
              <w:spacing w:after="200" w:line="276" w:lineRule="auto"/>
              <w:jc w:val="center"/>
              <w:rPr>
                <w:rFonts w:eastAsia="Calibri"/>
                <w:lang w:val="uk-UA" w:eastAsia="en-US"/>
              </w:rPr>
            </w:pPr>
          </w:p>
        </w:tc>
        <w:tc>
          <w:tcPr>
            <w:tcW w:w="939" w:type="dxa"/>
            <w:vAlign w:val="center"/>
          </w:tcPr>
          <w:p w:rsidR="00F16A4C" w:rsidRPr="00FC01DF" w:rsidRDefault="00F16A4C" w:rsidP="00F16A4C">
            <w:pPr>
              <w:spacing w:after="200" w:line="276" w:lineRule="auto"/>
              <w:jc w:val="center"/>
              <w:rPr>
                <w:rFonts w:eastAsia="Calibri"/>
                <w:lang w:val="uk-UA" w:eastAsia="en-US"/>
              </w:rPr>
            </w:pPr>
          </w:p>
        </w:tc>
        <w:tc>
          <w:tcPr>
            <w:tcW w:w="1236" w:type="dxa"/>
            <w:vAlign w:val="center"/>
          </w:tcPr>
          <w:p w:rsidR="00F16A4C" w:rsidRPr="00FC01DF" w:rsidRDefault="00F16A4C" w:rsidP="00F16A4C">
            <w:pPr>
              <w:spacing w:after="200" w:line="276" w:lineRule="auto"/>
              <w:jc w:val="center"/>
              <w:rPr>
                <w:rFonts w:eastAsia="Calibri"/>
                <w:lang w:val="uk-UA" w:eastAsia="en-US"/>
              </w:rPr>
            </w:pPr>
          </w:p>
        </w:tc>
        <w:tc>
          <w:tcPr>
            <w:tcW w:w="1825" w:type="dxa"/>
          </w:tcPr>
          <w:p w:rsidR="00F16A4C" w:rsidRPr="00FC01DF" w:rsidRDefault="00F16A4C" w:rsidP="00F16A4C">
            <w:pPr>
              <w:spacing w:after="200" w:line="276" w:lineRule="auto"/>
              <w:jc w:val="center"/>
              <w:rPr>
                <w:rFonts w:eastAsia="Calibri"/>
                <w:lang w:val="uk-UA" w:eastAsia="en-US"/>
              </w:rPr>
            </w:pPr>
          </w:p>
        </w:tc>
        <w:tc>
          <w:tcPr>
            <w:tcW w:w="1806" w:type="dxa"/>
          </w:tcPr>
          <w:p w:rsidR="00F16A4C" w:rsidRPr="00FC01DF" w:rsidRDefault="00F16A4C" w:rsidP="00F16A4C">
            <w:pPr>
              <w:spacing w:after="200" w:line="276" w:lineRule="auto"/>
              <w:jc w:val="center"/>
              <w:rPr>
                <w:rFonts w:eastAsia="Calibri"/>
                <w:lang w:val="uk-UA" w:eastAsia="en-US"/>
              </w:rPr>
            </w:pPr>
          </w:p>
        </w:tc>
      </w:tr>
      <w:tr w:rsidR="00F16A4C" w:rsidRPr="00FC01DF" w:rsidTr="00F16A4C">
        <w:tc>
          <w:tcPr>
            <w:tcW w:w="7873" w:type="dxa"/>
            <w:gridSpan w:val="5"/>
            <w:vAlign w:val="center"/>
          </w:tcPr>
          <w:p w:rsidR="00F16A4C" w:rsidRPr="00FC01DF" w:rsidRDefault="00F16A4C" w:rsidP="00F16A4C">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F16A4C" w:rsidRPr="00FC01DF" w:rsidRDefault="00F16A4C" w:rsidP="00F16A4C">
            <w:pPr>
              <w:spacing w:after="200" w:line="276" w:lineRule="auto"/>
              <w:jc w:val="center"/>
              <w:rPr>
                <w:rFonts w:eastAsia="Calibri"/>
                <w:lang w:val="uk-UA" w:eastAsia="en-US"/>
              </w:rPr>
            </w:pPr>
          </w:p>
        </w:tc>
      </w:tr>
      <w:tr w:rsidR="00F16A4C" w:rsidRPr="00FC01DF" w:rsidTr="00F16A4C">
        <w:tc>
          <w:tcPr>
            <w:tcW w:w="7873" w:type="dxa"/>
            <w:gridSpan w:val="5"/>
            <w:vAlign w:val="center"/>
          </w:tcPr>
          <w:p w:rsidR="00F16A4C" w:rsidRPr="00FC01DF" w:rsidRDefault="00F16A4C" w:rsidP="00F16A4C">
            <w:pPr>
              <w:spacing w:after="200" w:line="276" w:lineRule="auto"/>
              <w:rPr>
                <w:rFonts w:eastAsia="Calibri"/>
                <w:lang w:val="uk-UA" w:eastAsia="en-US"/>
              </w:rPr>
            </w:pPr>
            <w:r w:rsidRPr="00FC01DF">
              <w:rPr>
                <w:rFonts w:eastAsia="Calibri"/>
                <w:lang w:val="uk-UA" w:eastAsia="en-US"/>
              </w:rPr>
              <w:t>ПДВ, грн.</w:t>
            </w:r>
          </w:p>
        </w:tc>
        <w:tc>
          <w:tcPr>
            <w:tcW w:w="1806" w:type="dxa"/>
          </w:tcPr>
          <w:p w:rsidR="00F16A4C" w:rsidRPr="00FC01DF" w:rsidRDefault="00F16A4C" w:rsidP="00F16A4C">
            <w:pPr>
              <w:spacing w:after="200" w:line="276" w:lineRule="auto"/>
              <w:jc w:val="center"/>
              <w:rPr>
                <w:rFonts w:eastAsia="Calibri"/>
                <w:lang w:val="uk-UA" w:eastAsia="en-US"/>
              </w:rPr>
            </w:pPr>
          </w:p>
        </w:tc>
      </w:tr>
      <w:tr w:rsidR="00F16A4C" w:rsidRPr="00FC01DF" w:rsidTr="00F16A4C">
        <w:tc>
          <w:tcPr>
            <w:tcW w:w="7873" w:type="dxa"/>
            <w:gridSpan w:val="5"/>
            <w:vAlign w:val="center"/>
          </w:tcPr>
          <w:p w:rsidR="00F16A4C" w:rsidRPr="00FC01DF" w:rsidRDefault="00F16A4C" w:rsidP="00F16A4C">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F16A4C" w:rsidRPr="00FC01DF" w:rsidRDefault="00F16A4C" w:rsidP="00F16A4C">
            <w:pPr>
              <w:spacing w:after="200" w:line="276" w:lineRule="auto"/>
              <w:jc w:val="center"/>
              <w:rPr>
                <w:rFonts w:eastAsia="Calibri"/>
                <w:lang w:val="uk-UA" w:eastAsia="en-US"/>
              </w:rPr>
            </w:pPr>
          </w:p>
        </w:tc>
      </w:tr>
    </w:tbl>
    <w:p w:rsidR="00F16A4C" w:rsidRPr="00FC01DF" w:rsidRDefault="00F16A4C" w:rsidP="00F16A4C">
      <w:pPr>
        <w:spacing w:before="240"/>
        <w:jc w:val="both"/>
        <w:rPr>
          <w:rFonts w:eastAsia="Calibri"/>
          <w:lang w:val="uk-UA" w:eastAsia="en-US"/>
        </w:rPr>
      </w:pPr>
    </w:p>
    <w:p w:rsidR="00F16A4C" w:rsidRPr="00FC01DF" w:rsidRDefault="00F16A4C" w:rsidP="00F16A4C">
      <w:pPr>
        <w:spacing w:before="240"/>
        <w:jc w:val="both"/>
        <w:rPr>
          <w:rFonts w:eastAsia="Calibri"/>
          <w:lang w:val="uk-UA" w:eastAsia="en-US"/>
        </w:rPr>
      </w:pPr>
      <w:r w:rsidRPr="00FC01DF">
        <w:rPr>
          <w:rFonts w:eastAsia="Calibri"/>
          <w:lang w:val="uk-UA" w:eastAsia="en-US"/>
        </w:rPr>
        <w:t xml:space="preserve">      ПОСТАЧАЛЬНИК:                                                                   ПОКУПЕЦЬ:</w:t>
      </w:r>
    </w:p>
    <w:p w:rsidR="00F16A4C" w:rsidRPr="00FC01DF" w:rsidRDefault="00F16A4C" w:rsidP="00F16A4C">
      <w:pPr>
        <w:pBdr>
          <w:top w:val="nil"/>
          <w:left w:val="nil"/>
          <w:bottom w:val="nil"/>
          <w:right w:val="nil"/>
          <w:between w:val="nil"/>
        </w:pBdr>
        <w:shd w:val="clear" w:color="auto" w:fill="FFFFFF"/>
        <w:ind w:firstLine="720"/>
        <w:jc w:val="both"/>
        <w:rPr>
          <w:i/>
          <w:iCs/>
          <w:color w:val="000000"/>
          <w:lang w:val="uk-UA" w:eastAsia="uk-UA"/>
        </w:rPr>
      </w:pPr>
    </w:p>
    <w:p w:rsidR="00F16A4C" w:rsidRPr="00FC01DF" w:rsidRDefault="00F16A4C" w:rsidP="00F16A4C">
      <w:pPr>
        <w:pBdr>
          <w:top w:val="nil"/>
          <w:left w:val="nil"/>
          <w:bottom w:val="nil"/>
          <w:right w:val="nil"/>
          <w:between w:val="nil"/>
        </w:pBdr>
        <w:shd w:val="clear" w:color="auto" w:fill="FFFFFF"/>
        <w:ind w:firstLine="720"/>
        <w:jc w:val="both"/>
        <w:rPr>
          <w:i/>
          <w:iCs/>
          <w:color w:val="000000"/>
          <w:lang w:val="uk-UA" w:eastAsia="uk-UA"/>
        </w:rPr>
      </w:pPr>
    </w:p>
    <w:p w:rsidR="00F16A4C" w:rsidRPr="00FC01DF" w:rsidRDefault="00F16A4C" w:rsidP="00F16A4C">
      <w:pPr>
        <w:pBdr>
          <w:top w:val="nil"/>
          <w:left w:val="nil"/>
          <w:bottom w:val="nil"/>
          <w:right w:val="nil"/>
          <w:between w:val="nil"/>
        </w:pBdr>
        <w:shd w:val="clear" w:color="auto" w:fill="FFFFFF"/>
        <w:ind w:firstLine="720"/>
        <w:jc w:val="both"/>
        <w:rPr>
          <w:i/>
          <w:iCs/>
          <w:color w:val="000000"/>
          <w:lang w:val="uk-UA" w:eastAsia="uk-UA"/>
        </w:rPr>
      </w:pPr>
    </w:p>
    <w:p w:rsidR="00F16A4C" w:rsidRPr="00FC01DF" w:rsidRDefault="00F16A4C" w:rsidP="00F16A4C">
      <w:pPr>
        <w:tabs>
          <w:tab w:val="left" w:pos="4363"/>
        </w:tabs>
        <w:rPr>
          <w:lang w:val="uk-UA"/>
        </w:rPr>
      </w:pPr>
      <w:r w:rsidRPr="00FC01DF">
        <w:rPr>
          <w:i/>
          <w:iCs/>
          <w:color w:val="000000"/>
          <w:lang w:val="uk-UA" w:eastAsia="uk-UA"/>
        </w:rPr>
        <w:t xml:space="preserve">                                                                                       </w:t>
      </w:r>
      <w:r w:rsidRPr="00FC01DF">
        <w:rPr>
          <w:iCs/>
          <w:color w:val="000000"/>
          <w:lang w:val="uk-UA" w:eastAsia="uk-UA"/>
        </w:rPr>
        <w:t>Директор ____________ Іван Скорупський</w:t>
      </w:r>
    </w:p>
    <w:p w:rsidR="008A6115" w:rsidRPr="00F37B60" w:rsidRDefault="008A6115" w:rsidP="00F16A4C">
      <w:pPr>
        <w:widowControl w:val="0"/>
        <w:tabs>
          <w:tab w:val="left" w:pos="1080"/>
        </w:tabs>
        <w:snapToGrid w:val="0"/>
        <w:ind w:right="-62" w:firstLine="709"/>
        <w:jc w:val="both"/>
        <w:rPr>
          <w:rFonts w:eastAsia="Calibri"/>
          <w:lang w:eastAsia="en-US"/>
        </w:rPr>
      </w:pPr>
    </w:p>
    <w:sectPr w:rsidR="008A6115" w:rsidRPr="00F37B60"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35" w:rsidRDefault="00D71935" w:rsidP="004F319E">
      <w:r>
        <w:separator/>
      </w:r>
    </w:p>
  </w:endnote>
  <w:endnote w:type="continuationSeparator" w:id="0">
    <w:p w:rsidR="00D71935" w:rsidRDefault="00D71935"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A4C" w:rsidRDefault="00F16A4C"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pPr>
      <w:pStyle w:val="a6"/>
      <w:jc w:val="right"/>
    </w:pPr>
    <w:r>
      <w:fldChar w:fldCharType="begin"/>
    </w:r>
    <w:r>
      <w:instrText xml:space="preserve"> PAGE   \* MERGEFORMAT </w:instrText>
    </w:r>
    <w:r>
      <w:fldChar w:fldCharType="separate"/>
    </w:r>
    <w:r w:rsidR="006505D3">
      <w:rPr>
        <w:noProof/>
      </w:rPr>
      <w:t>22</w:t>
    </w:r>
    <w:r>
      <w:rPr>
        <w:noProof/>
      </w:rPr>
      <w:fldChar w:fldCharType="end"/>
    </w:r>
  </w:p>
  <w:p w:rsidR="00F16A4C" w:rsidRDefault="00F16A4C"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Pr="000F4336" w:rsidRDefault="00F16A4C">
    <w:pPr>
      <w:pStyle w:val="a6"/>
      <w:jc w:val="right"/>
      <w:rPr>
        <w:lang w:val="uk-UA"/>
      </w:rPr>
    </w:pPr>
  </w:p>
  <w:p w:rsidR="00F16A4C" w:rsidRDefault="00F16A4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pPr>
      <w:pStyle w:val="a6"/>
      <w:jc w:val="center"/>
    </w:pPr>
    <w:r>
      <w:fldChar w:fldCharType="begin"/>
    </w:r>
    <w:r>
      <w:instrText xml:space="preserve"> PAGE   \* MERGEFORMAT </w:instrText>
    </w:r>
    <w:r>
      <w:fldChar w:fldCharType="separate"/>
    </w:r>
    <w:r w:rsidR="006505D3">
      <w:rPr>
        <w:noProof/>
      </w:rPr>
      <w:t>28</w:t>
    </w:r>
    <w:r>
      <w:fldChar w:fldCharType="end"/>
    </w:r>
  </w:p>
  <w:p w:rsidR="00F16A4C" w:rsidRPr="004A1F8B" w:rsidRDefault="00F16A4C">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Pr="005B4A61" w:rsidRDefault="00F16A4C"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35" w:rsidRDefault="00D71935" w:rsidP="004F319E">
      <w:r>
        <w:separator/>
      </w:r>
    </w:p>
  </w:footnote>
  <w:footnote w:type="continuationSeparator" w:id="0">
    <w:p w:rsidR="00D71935" w:rsidRDefault="00D71935"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4C" w:rsidRDefault="00F16A4C" w:rsidP="00B92B7A">
    <w:pPr>
      <w:pStyle w:val="ac"/>
      <w:jc w:val="right"/>
    </w:pPr>
  </w:p>
  <w:p w:rsidR="00F16A4C" w:rsidRDefault="00F16A4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B7E0B"/>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5E6C"/>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0D62"/>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C07"/>
    <w:rsid w:val="001651FD"/>
    <w:rsid w:val="001657E2"/>
    <w:rsid w:val="00165FFB"/>
    <w:rsid w:val="0016639C"/>
    <w:rsid w:val="001666DF"/>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369"/>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3F8C"/>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2E9A"/>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65"/>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33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42"/>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66D"/>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21CC"/>
    <w:rsid w:val="005E28CA"/>
    <w:rsid w:val="005E2E6E"/>
    <w:rsid w:val="005E330E"/>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05D3"/>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AF7"/>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0F"/>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A87"/>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B8E"/>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3F30"/>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297"/>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6F98"/>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4F6"/>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6F6"/>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3AB"/>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579D2"/>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23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3DD2"/>
    <w:rsid w:val="00C146C0"/>
    <w:rsid w:val="00C14F50"/>
    <w:rsid w:val="00C14FB7"/>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CCB"/>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2A5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715"/>
    <w:rsid w:val="00CA7A5A"/>
    <w:rsid w:val="00CA7ECF"/>
    <w:rsid w:val="00CA7FEE"/>
    <w:rsid w:val="00CB0A79"/>
    <w:rsid w:val="00CB0BCF"/>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935"/>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850"/>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06FB2"/>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AA6"/>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0C44"/>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ABD"/>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6D49"/>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E70A"/>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ED9EA-B794-4E7C-B9C4-62765FABE064}">
  <ds:schemaRefs>
    <ds:schemaRef ds:uri="http://schemas.openxmlformats.org/officeDocument/2006/bibliography"/>
  </ds:schemaRefs>
</ds:datastoreItem>
</file>

<file path=customXml/itemProps2.xml><?xml version="1.0" encoding="utf-8"?>
<ds:datastoreItem xmlns:ds="http://schemas.openxmlformats.org/officeDocument/2006/customXml" ds:itemID="{00BBF42E-AA67-4ED9-8B9A-C80D272A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29</Pages>
  <Words>10934</Words>
  <Characters>62324</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73112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1990</cp:revision>
  <cp:lastPrinted>2023-01-05T08:48:00Z</cp:lastPrinted>
  <dcterms:created xsi:type="dcterms:W3CDTF">2022-12-12T15:04:00Z</dcterms:created>
  <dcterms:modified xsi:type="dcterms:W3CDTF">2024-04-04T12:33:00Z</dcterms:modified>
</cp:coreProperties>
</file>