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«___»_________2023р.</w:t>
      </w:r>
    </w:p>
    <w:p w:rsidR="00CE64E2" w:rsidRPr="006A6FA1" w:rsidRDefault="00CE64E2" w:rsidP="00CE64E2">
      <w:pPr>
        <w:jc w:val="center"/>
        <w:rPr>
          <w:rFonts w:ascii="Times New Roman" w:hAnsi="Times New Roman" w:cs="Times New Roman"/>
          <w:b/>
          <w:color w:val="000000" w:themeColor="text1"/>
        </w:rPr>
      </w:pPr>
    </w:p>
    <w:p w:rsidR="00C1077E" w:rsidRPr="00417807"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417807" w:rsidRPr="00417807">
        <w:rPr>
          <w:rFonts w:ascii="Times New Roman" w:hAnsi="Times New Roman" w:cs="Times New Roman"/>
          <w:sz w:val="24"/>
          <w:szCs w:val="24"/>
          <w:lang w:bidi="uk-UA"/>
        </w:rPr>
        <w:t xml:space="preserve">уклали цей Договір про закупівлю (надалі - </w:t>
      </w:r>
      <w:r w:rsidR="00417807" w:rsidRPr="00417807">
        <w:rPr>
          <w:rStyle w:val="a8"/>
          <w:rFonts w:eastAsia="Courier New"/>
          <w:sz w:val="24"/>
          <w:szCs w:val="24"/>
        </w:rPr>
        <w:t>Договір</w:t>
      </w:r>
      <w:r w:rsidR="00417807" w:rsidRPr="00417807">
        <w:rPr>
          <w:rFonts w:ascii="Times New Roman" w:hAnsi="Times New Roman" w:cs="Times New Roman"/>
          <w:sz w:val="24"/>
          <w:szCs w:val="24"/>
          <w:lang w:bidi="uk-UA"/>
        </w:rPr>
        <w:t xml:space="preserve">) </w:t>
      </w:r>
      <w:r w:rsidR="00417807"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9716E" w:rsidRPr="00417807">
        <w:rPr>
          <w:rFonts w:ascii="Times New Roman" w:hAnsi="Times New Roman" w:cs="Times New Roman"/>
          <w:sz w:val="24"/>
          <w:szCs w:val="24"/>
        </w:rPr>
        <w:t xml:space="preserve">про </w:t>
      </w:r>
      <w:r w:rsidR="00D9716E" w:rsidRPr="006A6FA1">
        <w:rPr>
          <w:rFonts w:ascii="Times New Roman" w:eastAsia="Times New Roman" w:hAnsi="Times New Roman" w:cs="Times New Roman"/>
          <w:color w:val="000000" w:themeColor="text1"/>
          <w:sz w:val="24"/>
          <w:szCs w:val="24"/>
          <w:highlight w:val="white"/>
        </w:rPr>
        <w:t>наступне</w:t>
      </w:r>
      <w:r w:rsidR="00F41F9E" w:rsidRPr="00417807">
        <w:rPr>
          <w:rFonts w:ascii="Times New Roman" w:eastAsia="Times New Roman" w:hAnsi="Times New Roman" w:cs="Times New Roman"/>
          <w:color w:val="000000" w:themeColor="text1"/>
          <w:sz w:val="24"/>
          <w:szCs w:val="24"/>
          <w:highlight w:val="white"/>
        </w:rPr>
        <w:t>:</w:t>
      </w:r>
      <w:r w:rsidR="00F41F9E" w:rsidRPr="00417807">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CE64E2">
      <w:pPr>
        <w:pStyle w:val="normal"/>
        <w:widowControl w:val="0"/>
        <w:pBdr>
          <w:top w:val="nil"/>
          <w:left w:val="nil"/>
          <w:bottom w:val="nil"/>
          <w:right w:val="nil"/>
          <w:between w:val="nil"/>
        </w:pBdr>
        <w:spacing w:line="240" w:lineRule="auto"/>
        <w:ind w:left="4" w:right="94"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1.1. ПОСТАЧАЛЬНИК бере на себе зобов’язання поставити ЗАМОВНИКУ </w:t>
      </w:r>
      <w:r w:rsidR="00E07381" w:rsidRPr="006A6FA1">
        <w:rPr>
          <w:rFonts w:ascii="Times New Roman" w:eastAsia="Times New Roman" w:hAnsi="Times New Roman" w:cs="Times New Roman"/>
          <w:color w:val="000000" w:themeColor="text1"/>
          <w:sz w:val="24"/>
          <w:szCs w:val="24"/>
        </w:rPr>
        <w:t>ф</w:t>
      </w:r>
      <w:r w:rsidR="00E07381" w:rsidRPr="006A6FA1">
        <w:rPr>
          <w:rFonts w:ascii="Times New Roman" w:hAnsi="Times New Roman" w:cs="Times New Roman"/>
          <w:color w:val="000000" w:themeColor="text1"/>
          <w:sz w:val="24"/>
          <w:szCs w:val="24"/>
        </w:rPr>
        <w:t xml:space="preserve">армацевтичну продукцію за </w:t>
      </w:r>
      <w:proofErr w:type="spellStart"/>
      <w:r w:rsidR="00E07381" w:rsidRPr="006A6FA1">
        <w:rPr>
          <w:rFonts w:ascii="Times New Roman" w:hAnsi="Times New Roman" w:cs="Times New Roman"/>
          <w:color w:val="000000" w:themeColor="text1"/>
          <w:sz w:val="24"/>
          <w:szCs w:val="24"/>
        </w:rPr>
        <w:t>ДК</w:t>
      </w:r>
      <w:proofErr w:type="spellEnd"/>
      <w:r w:rsidR="00E07381" w:rsidRPr="006A6FA1">
        <w:rPr>
          <w:rFonts w:ascii="Times New Roman" w:hAnsi="Times New Roman" w:cs="Times New Roman"/>
          <w:color w:val="000000" w:themeColor="text1"/>
          <w:sz w:val="24"/>
          <w:szCs w:val="24"/>
        </w:rPr>
        <w:t xml:space="preserve"> 021:2015 – 33600000-6: </w:t>
      </w:r>
      <w:r w:rsidR="006570CA" w:rsidRPr="005447BD">
        <w:rPr>
          <w:rFonts w:ascii="Times New Roman" w:hAnsi="Times New Roman" w:cs="Times New Roman"/>
          <w:b/>
          <w:bCs/>
          <w:color w:val="000000"/>
          <w:sz w:val="24"/>
          <w:szCs w:val="24"/>
          <w:bdr w:val="none" w:sz="0" w:space="0" w:color="auto" w:frame="1"/>
        </w:rPr>
        <w:t xml:space="preserve">Глюкози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rPr>
        <w:t>Glucose</w:t>
      </w:r>
      <w:proofErr w:type="spellEnd"/>
      <w:r w:rsidR="006570CA" w:rsidRPr="005447BD">
        <w:rPr>
          <w:rFonts w:ascii="Times New Roman" w:hAnsi="Times New Roman" w:cs="Times New Roman"/>
          <w:b/>
          <w:bCs/>
          <w:color w:val="000000" w:themeColor="text1"/>
          <w:sz w:val="24"/>
          <w:szCs w:val="24"/>
        </w:rPr>
        <w:t xml:space="preserve">) </w:t>
      </w:r>
      <w:r w:rsidR="006570CA" w:rsidRPr="005447BD">
        <w:rPr>
          <w:rFonts w:ascii="Times New Roman" w:hAnsi="Times New Roman" w:cs="Times New Roman"/>
          <w:b/>
          <w:bCs/>
          <w:color w:val="000000"/>
          <w:sz w:val="24"/>
          <w:szCs w:val="24"/>
          <w:bdr w:val="none" w:sz="0" w:space="0" w:color="auto" w:frame="1"/>
        </w:rPr>
        <w:t xml:space="preserve">розчин для ін'єкцій 40 % по 20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№10, </w:t>
      </w:r>
      <w:proofErr w:type="spellStart"/>
      <w:r w:rsidR="006570CA" w:rsidRPr="005447BD">
        <w:rPr>
          <w:rFonts w:ascii="Times New Roman" w:hAnsi="Times New Roman" w:cs="Times New Roman"/>
          <w:b/>
          <w:bCs/>
          <w:color w:val="000000"/>
          <w:sz w:val="24"/>
          <w:szCs w:val="24"/>
          <w:bdr w:val="none" w:sz="0" w:space="0" w:color="auto" w:frame="1"/>
        </w:rPr>
        <w:t>Дротаверин</w:t>
      </w:r>
      <w:proofErr w:type="spellEnd"/>
      <w:r w:rsidR="006570CA" w:rsidRPr="005447BD">
        <w:rPr>
          <w:rFonts w:ascii="Times New Roman" w:hAnsi="Times New Roman" w:cs="Times New Roman"/>
          <w:b/>
          <w:bCs/>
          <w:color w:val="000000"/>
          <w:sz w:val="24"/>
          <w:szCs w:val="24"/>
          <w:bdr w:val="none" w:sz="0" w:space="0" w:color="auto" w:frame="1"/>
        </w:rPr>
        <w:t xml:space="preserve">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rPr>
        <w:t>Drotaverine</w:t>
      </w:r>
      <w:proofErr w:type="spellEnd"/>
      <w:r w:rsidR="006570CA" w:rsidRPr="005447BD">
        <w:rPr>
          <w:rFonts w:ascii="Times New Roman" w:hAnsi="Times New Roman" w:cs="Times New Roman"/>
          <w:b/>
          <w:bCs/>
          <w:color w:val="000000" w:themeColor="text1"/>
          <w:sz w:val="24"/>
          <w:szCs w:val="24"/>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 20 мг/</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по 2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№5, </w:t>
      </w:r>
      <w:proofErr w:type="spellStart"/>
      <w:r w:rsidR="006570CA" w:rsidRPr="005447BD">
        <w:rPr>
          <w:rFonts w:ascii="Times New Roman" w:hAnsi="Times New Roman" w:cs="Times New Roman"/>
          <w:b/>
          <w:bCs/>
          <w:color w:val="000000" w:themeColor="text1"/>
          <w:sz w:val="24"/>
          <w:szCs w:val="24"/>
        </w:rPr>
        <w:t>Ізо-Мік</w:t>
      </w:r>
      <w:proofErr w:type="spellEnd"/>
      <w:r w:rsidR="006570CA" w:rsidRPr="005447BD">
        <w:rPr>
          <w:rFonts w:ascii="Times New Roman" w:hAnsi="Times New Roman" w:cs="Times New Roman"/>
          <w:b/>
          <w:bCs/>
          <w:color w:val="000000" w:themeColor="text1"/>
          <w:sz w:val="24"/>
          <w:szCs w:val="24"/>
          <w:bdr w:val="none" w:sz="0" w:space="0" w:color="auto" w:frame="1"/>
        </w:rPr>
        <w:t xml:space="preserve"> (</w:t>
      </w:r>
      <w:proofErr w:type="spellStart"/>
      <w:r w:rsidR="006570CA" w:rsidRPr="005447BD">
        <w:rPr>
          <w:rFonts w:ascii="Times New Roman" w:hAnsi="Times New Roman" w:cs="Times New Roman"/>
          <w:b/>
          <w:color w:val="000000" w:themeColor="text1"/>
          <w:sz w:val="24"/>
          <w:szCs w:val="24"/>
          <w:shd w:val="clear" w:color="auto" w:fill="FFFFFF"/>
        </w:rPr>
        <w:t>Isosorbide</w:t>
      </w:r>
      <w:proofErr w:type="spellEnd"/>
      <w:r w:rsidR="006570CA" w:rsidRPr="005447BD">
        <w:rPr>
          <w:rFonts w:ascii="Times New Roman" w:hAnsi="Times New Roman" w:cs="Times New Roman"/>
          <w:b/>
          <w:color w:val="000000" w:themeColor="text1"/>
          <w:sz w:val="24"/>
          <w:szCs w:val="24"/>
          <w:shd w:val="clear" w:color="auto" w:fill="FFFFFF"/>
        </w:rPr>
        <w:t xml:space="preserve"> </w:t>
      </w:r>
      <w:proofErr w:type="spellStart"/>
      <w:r w:rsidR="006570CA" w:rsidRPr="005447BD">
        <w:rPr>
          <w:rFonts w:ascii="Times New Roman" w:hAnsi="Times New Roman" w:cs="Times New Roman"/>
          <w:b/>
          <w:color w:val="000000" w:themeColor="text1"/>
          <w:sz w:val="24"/>
          <w:szCs w:val="24"/>
          <w:shd w:val="clear" w:color="auto" w:fill="FFFFFF"/>
        </w:rPr>
        <w:t>dinitrate</w:t>
      </w:r>
      <w:proofErr w:type="spellEnd"/>
      <w:r w:rsidR="006570CA" w:rsidRPr="005447BD">
        <w:rPr>
          <w:rFonts w:ascii="Times New Roman" w:hAnsi="Times New Roman" w:cs="Times New Roman"/>
          <w:b/>
          <w:color w:val="000000" w:themeColor="text1"/>
          <w:sz w:val="24"/>
          <w:szCs w:val="24"/>
          <w:shd w:val="clear" w:color="auto" w:fill="FFFFFF"/>
        </w:rPr>
        <w:t xml:space="preserve">) </w:t>
      </w:r>
      <w:proofErr w:type="spellStart"/>
      <w:r w:rsidR="006570CA" w:rsidRPr="005447BD">
        <w:rPr>
          <w:rFonts w:ascii="Times New Roman" w:hAnsi="Times New Roman" w:cs="Times New Roman"/>
          <w:b/>
          <w:bCs/>
          <w:color w:val="000000"/>
          <w:sz w:val="24"/>
          <w:szCs w:val="24"/>
          <w:bdr w:val="none" w:sz="0" w:space="0" w:color="auto" w:frame="1"/>
        </w:rPr>
        <w:t>спрей</w:t>
      </w:r>
      <w:proofErr w:type="spellEnd"/>
      <w:r w:rsidR="006570CA" w:rsidRPr="005447BD">
        <w:rPr>
          <w:rFonts w:ascii="Times New Roman" w:hAnsi="Times New Roman" w:cs="Times New Roman"/>
          <w:b/>
          <w:bCs/>
          <w:color w:val="000000"/>
          <w:sz w:val="24"/>
          <w:szCs w:val="24"/>
          <w:bdr w:val="none" w:sz="0" w:space="0" w:color="auto" w:frame="1"/>
        </w:rPr>
        <w:t xml:space="preserve"> </w:t>
      </w:r>
      <w:proofErr w:type="spellStart"/>
      <w:r w:rsidR="006570CA" w:rsidRPr="005447BD">
        <w:rPr>
          <w:rFonts w:ascii="Times New Roman" w:hAnsi="Times New Roman" w:cs="Times New Roman"/>
          <w:b/>
          <w:bCs/>
          <w:color w:val="000000"/>
          <w:sz w:val="24"/>
          <w:szCs w:val="24"/>
          <w:bdr w:val="none" w:sz="0" w:space="0" w:color="auto" w:frame="1"/>
        </w:rPr>
        <w:t>сублінгвальний</w:t>
      </w:r>
      <w:proofErr w:type="spellEnd"/>
      <w:r w:rsidR="006570CA" w:rsidRPr="005447BD">
        <w:rPr>
          <w:rFonts w:ascii="Times New Roman" w:hAnsi="Times New Roman" w:cs="Times New Roman"/>
          <w:b/>
          <w:bCs/>
          <w:color w:val="000000"/>
          <w:sz w:val="24"/>
          <w:szCs w:val="24"/>
          <w:bdr w:val="none" w:sz="0" w:space="0" w:color="auto" w:frame="1"/>
        </w:rPr>
        <w:t xml:space="preserve"> дозований, 1,25 мг/дозу по 15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w:t>
      </w:r>
      <w:proofErr w:type="spellStart"/>
      <w:r w:rsidR="006570CA" w:rsidRPr="005447BD">
        <w:rPr>
          <w:rFonts w:ascii="Times New Roman" w:hAnsi="Times New Roman" w:cs="Times New Roman"/>
          <w:b/>
          <w:bCs/>
          <w:color w:val="000000"/>
          <w:sz w:val="24"/>
          <w:szCs w:val="24"/>
          <w:bdr w:val="none" w:sz="0" w:space="0" w:color="auto" w:frame="1"/>
        </w:rPr>
        <w:t>Корглікон</w:t>
      </w:r>
      <w:proofErr w:type="spellEnd"/>
      <w:r w:rsidR="006570CA" w:rsidRPr="005447BD">
        <w:rPr>
          <w:rFonts w:ascii="Times New Roman" w:hAnsi="Times New Roman" w:cs="Times New Roman"/>
          <w:b/>
          <w:bCs/>
          <w:color w:val="000000"/>
          <w:sz w:val="24"/>
          <w:szCs w:val="24"/>
          <w:bdr w:val="none" w:sz="0" w:space="0" w:color="auto" w:frame="1"/>
        </w:rPr>
        <w:t xml:space="preserve">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color w:val="000000" w:themeColor="text1"/>
          <w:sz w:val="24"/>
          <w:szCs w:val="24"/>
          <w:shd w:val="clear" w:color="auto" w:fill="FFFFFF"/>
        </w:rPr>
        <w:t>Corglycon</w:t>
      </w:r>
      <w:proofErr w:type="spellEnd"/>
      <w:r w:rsidR="006570CA" w:rsidRPr="005447BD">
        <w:rPr>
          <w:rFonts w:ascii="Times New Roman" w:hAnsi="Times New Roman" w:cs="Times New Roman"/>
          <w:b/>
          <w:color w:val="000000" w:themeColor="text1"/>
          <w:sz w:val="24"/>
          <w:szCs w:val="24"/>
          <w:shd w:val="clear" w:color="auto" w:fill="FFFFFF"/>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 0,6 мг/</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по 1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№10, Магнію сульфату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rPr>
        <w:t>Magnesium</w:t>
      </w:r>
      <w:proofErr w:type="spellEnd"/>
      <w:r w:rsidR="006570CA" w:rsidRPr="005447BD">
        <w:rPr>
          <w:rFonts w:ascii="Times New Roman" w:hAnsi="Times New Roman" w:cs="Times New Roman"/>
          <w:b/>
          <w:bCs/>
          <w:color w:val="000000" w:themeColor="text1"/>
          <w:sz w:val="24"/>
          <w:szCs w:val="24"/>
        </w:rPr>
        <w:t xml:space="preserve"> </w:t>
      </w:r>
      <w:proofErr w:type="spellStart"/>
      <w:r w:rsidR="006570CA" w:rsidRPr="005447BD">
        <w:rPr>
          <w:rFonts w:ascii="Times New Roman" w:hAnsi="Times New Roman" w:cs="Times New Roman"/>
          <w:b/>
          <w:bCs/>
          <w:color w:val="000000" w:themeColor="text1"/>
          <w:sz w:val="24"/>
          <w:szCs w:val="24"/>
        </w:rPr>
        <w:t>sulfate</w:t>
      </w:r>
      <w:proofErr w:type="spellEnd"/>
      <w:r w:rsidR="006570CA" w:rsidRPr="005447BD">
        <w:rPr>
          <w:rFonts w:ascii="Times New Roman" w:hAnsi="Times New Roman" w:cs="Times New Roman"/>
          <w:b/>
          <w:bCs/>
          <w:color w:val="000000" w:themeColor="text1"/>
          <w:sz w:val="24"/>
          <w:szCs w:val="24"/>
        </w:rPr>
        <w:t>)</w:t>
      </w:r>
      <w:r w:rsidR="006570CA" w:rsidRPr="005447BD">
        <w:rPr>
          <w:rFonts w:ascii="Times New Roman" w:hAnsi="Times New Roman" w:cs="Times New Roman"/>
          <w:b/>
          <w:bCs/>
          <w:color w:val="000000" w:themeColor="text1"/>
          <w:sz w:val="24"/>
          <w:szCs w:val="24"/>
          <w:bdr w:val="none" w:sz="0" w:space="0" w:color="auto" w:frame="1"/>
        </w:rPr>
        <w:t xml:space="preserve"> розчин для ін'єкцій,</w:t>
      </w:r>
      <w:r w:rsidR="006570CA" w:rsidRPr="005447BD">
        <w:rPr>
          <w:rFonts w:ascii="Times New Roman" w:hAnsi="Times New Roman" w:cs="Times New Roman"/>
          <w:b/>
          <w:color w:val="000000" w:themeColor="text1"/>
          <w:sz w:val="24"/>
          <w:szCs w:val="24"/>
          <w:shd w:val="clear" w:color="auto" w:fill="FDFEFD"/>
        </w:rPr>
        <w:t xml:space="preserve"> 250 мг/</w:t>
      </w:r>
      <w:proofErr w:type="spellStart"/>
      <w:r w:rsidR="006570CA" w:rsidRPr="005447BD">
        <w:rPr>
          <w:rFonts w:ascii="Times New Roman" w:hAnsi="Times New Roman" w:cs="Times New Roman"/>
          <w:b/>
          <w:color w:val="000000" w:themeColor="text1"/>
          <w:sz w:val="24"/>
          <w:szCs w:val="24"/>
          <w:shd w:val="clear" w:color="auto" w:fill="FDFEFD"/>
        </w:rPr>
        <w:t>мл</w:t>
      </w:r>
      <w:proofErr w:type="spellEnd"/>
      <w:r w:rsidR="006570CA" w:rsidRPr="005447BD">
        <w:rPr>
          <w:rFonts w:ascii="Times New Roman" w:hAnsi="Times New Roman" w:cs="Times New Roman"/>
          <w:b/>
          <w:color w:val="000000" w:themeColor="text1"/>
          <w:sz w:val="24"/>
          <w:szCs w:val="24"/>
          <w:shd w:val="clear" w:color="auto" w:fill="FDFEFD"/>
        </w:rPr>
        <w:t xml:space="preserve"> по </w:t>
      </w:r>
      <w:r w:rsidR="006570CA" w:rsidRPr="005447BD">
        <w:rPr>
          <w:rFonts w:ascii="Times New Roman" w:hAnsi="Times New Roman" w:cs="Times New Roman"/>
          <w:b/>
          <w:bCs/>
          <w:color w:val="000000"/>
          <w:sz w:val="24"/>
          <w:szCs w:val="24"/>
          <w:bdr w:val="none" w:sz="0" w:space="0" w:color="auto" w:frame="1"/>
        </w:rPr>
        <w:t xml:space="preserve">5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 10, </w:t>
      </w:r>
      <w:proofErr w:type="spellStart"/>
      <w:r w:rsidR="006570CA" w:rsidRPr="005447BD">
        <w:rPr>
          <w:rFonts w:ascii="Times New Roman" w:hAnsi="Times New Roman" w:cs="Times New Roman"/>
          <w:b/>
          <w:bCs/>
          <w:color w:val="000000"/>
          <w:sz w:val="24"/>
          <w:szCs w:val="24"/>
          <w:bdr w:val="none" w:sz="0" w:space="0" w:color="auto" w:frame="1"/>
        </w:rPr>
        <w:t>Метоклопрамід</w:t>
      </w:r>
      <w:proofErr w:type="spellEnd"/>
      <w:r w:rsidR="006570CA" w:rsidRPr="005447BD">
        <w:rPr>
          <w:rFonts w:ascii="Times New Roman" w:hAnsi="Times New Roman" w:cs="Times New Roman"/>
          <w:b/>
          <w:bCs/>
          <w:color w:val="000000"/>
          <w:sz w:val="24"/>
          <w:szCs w:val="24"/>
          <w:bdr w:val="none" w:sz="0" w:space="0" w:color="auto" w:frame="1"/>
        </w:rPr>
        <w:t xml:space="preserve">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color w:val="000000" w:themeColor="text1"/>
          <w:sz w:val="24"/>
          <w:szCs w:val="24"/>
          <w:shd w:val="clear" w:color="auto" w:fill="FFFFFF"/>
        </w:rPr>
        <w:t>Metoclopramide</w:t>
      </w:r>
      <w:proofErr w:type="spellEnd"/>
      <w:r w:rsidR="006570CA" w:rsidRPr="005447BD">
        <w:rPr>
          <w:rFonts w:ascii="Times New Roman" w:hAnsi="Times New Roman" w:cs="Times New Roman"/>
          <w:b/>
          <w:color w:val="000000" w:themeColor="text1"/>
          <w:sz w:val="24"/>
          <w:szCs w:val="24"/>
          <w:shd w:val="clear" w:color="auto" w:fill="FFFFFF"/>
        </w:rPr>
        <w:t>)</w:t>
      </w:r>
      <w:r w:rsidR="006570CA" w:rsidRPr="005447BD">
        <w:rPr>
          <w:rFonts w:ascii="Times New Roman" w:hAnsi="Times New Roman" w:cs="Times New Roman"/>
          <w:b/>
          <w:bCs/>
          <w:color w:val="000000" w:themeColor="text1"/>
          <w:sz w:val="24"/>
          <w:szCs w:val="24"/>
          <w:bdr w:val="none" w:sz="0" w:space="0" w:color="auto" w:frame="1"/>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w:t>
      </w:r>
      <w:r w:rsidR="006570CA" w:rsidRPr="005447BD">
        <w:rPr>
          <w:rFonts w:ascii="Times New Roman" w:hAnsi="Times New Roman" w:cs="Times New Roman"/>
          <w:b/>
          <w:bCs/>
          <w:color w:val="000000" w:themeColor="text1"/>
          <w:sz w:val="24"/>
          <w:szCs w:val="24"/>
          <w:bdr w:val="none" w:sz="0" w:space="0" w:color="auto" w:frame="1"/>
        </w:rPr>
        <w:t xml:space="preserve">, </w:t>
      </w:r>
      <w:r w:rsidR="006570CA" w:rsidRPr="005447BD">
        <w:rPr>
          <w:rFonts w:ascii="Times New Roman" w:hAnsi="Times New Roman" w:cs="Times New Roman"/>
          <w:b/>
          <w:color w:val="000000" w:themeColor="text1"/>
          <w:sz w:val="24"/>
          <w:szCs w:val="24"/>
          <w:shd w:val="clear" w:color="auto" w:fill="F3F3F3"/>
        </w:rPr>
        <w:t>5 мг/</w:t>
      </w:r>
      <w:proofErr w:type="spellStart"/>
      <w:r w:rsidR="006570CA" w:rsidRPr="005447BD">
        <w:rPr>
          <w:rFonts w:ascii="Times New Roman" w:hAnsi="Times New Roman" w:cs="Times New Roman"/>
          <w:b/>
          <w:color w:val="000000" w:themeColor="text1"/>
          <w:sz w:val="24"/>
          <w:szCs w:val="24"/>
          <w:shd w:val="clear" w:color="auto" w:fill="F3F3F3"/>
        </w:rPr>
        <w:t>мл</w:t>
      </w:r>
      <w:proofErr w:type="spellEnd"/>
      <w:r w:rsidR="006570CA" w:rsidRPr="005447BD">
        <w:rPr>
          <w:rFonts w:ascii="Times New Roman" w:hAnsi="Times New Roman" w:cs="Times New Roman"/>
          <w:b/>
          <w:color w:val="000000" w:themeColor="text1"/>
          <w:sz w:val="24"/>
          <w:szCs w:val="24"/>
          <w:shd w:val="clear" w:color="auto" w:fill="F3F3F3"/>
        </w:rPr>
        <w:t xml:space="preserve"> по</w:t>
      </w:r>
      <w:r w:rsidR="006570CA" w:rsidRPr="005447BD">
        <w:rPr>
          <w:rFonts w:ascii="Times New Roman" w:hAnsi="Times New Roman" w:cs="Times New Roman"/>
          <w:b/>
          <w:bCs/>
          <w:color w:val="000000"/>
          <w:sz w:val="24"/>
          <w:szCs w:val="24"/>
          <w:bdr w:val="none" w:sz="0" w:space="0" w:color="auto" w:frame="1"/>
        </w:rPr>
        <w:t xml:space="preserve"> 2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№10, Нітрогліцерин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color w:val="000000" w:themeColor="text1"/>
          <w:sz w:val="24"/>
          <w:szCs w:val="24"/>
          <w:shd w:val="clear" w:color="auto" w:fill="FFFFFF"/>
        </w:rPr>
        <w:t>Glyceryl</w:t>
      </w:r>
      <w:proofErr w:type="spellEnd"/>
      <w:r w:rsidR="006570CA" w:rsidRPr="005447BD">
        <w:rPr>
          <w:rFonts w:ascii="Times New Roman" w:hAnsi="Times New Roman" w:cs="Times New Roman"/>
          <w:b/>
          <w:color w:val="000000" w:themeColor="text1"/>
          <w:sz w:val="24"/>
          <w:szCs w:val="24"/>
          <w:shd w:val="clear" w:color="auto" w:fill="FFFFFF"/>
        </w:rPr>
        <w:t xml:space="preserve"> </w:t>
      </w:r>
      <w:proofErr w:type="spellStart"/>
      <w:r w:rsidR="006570CA" w:rsidRPr="005447BD">
        <w:rPr>
          <w:rFonts w:ascii="Times New Roman" w:hAnsi="Times New Roman" w:cs="Times New Roman"/>
          <w:b/>
          <w:color w:val="000000" w:themeColor="text1"/>
          <w:sz w:val="24"/>
          <w:szCs w:val="24"/>
          <w:shd w:val="clear" w:color="auto" w:fill="FFFFFF"/>
        </w:rPr>
        <w:t>trinitrate</w:t>
      </w:r>
      <w:proofErr w:type="spellEnd"/>
      <w:r w:rsidR="006570CA" w:rsidRPr="005447BD">
        <w:rPr>
          <w:rFonts w:ascii="Times New Roman" w:hAnsi="Times New Roman" w:cs="Times New Roman"/>
          <w:b/>
          <w:color w:val="000000" w:themeColor="text1"/>
          <w:sz w:val="24"/>
          <w:szCs w:val="24"/>
          <w:shd w:val="clear" w:color="auto" w:fill="FFFFFF"/>
        </w:rPr>
        <w:t>)</w:t>
      </w:r>
      <w:r w:rsidR="006570CA" w:rsidRPr="005447BD">
        <w:rPr>
          <w:rFonts w:ascii="Times New Roman" w:hAnsi="Times New Roman" w:cs="Times New Roman"/>
          <w:b/>
          <w:bCs/>
          <w:color w:val="000000"/>
          <w:sz w:val="24"/>
          <w:szCs w:val="24"/>
          <w:bdr w:val="none" w:sz="0" w:space="0" w:color="auto" w:frame="1"/>
        </w:rPr>
        <w:t xml:space="preserve"> таблетки </w:t>
      </w:r>
      <w:proofErr w:type="spellStart"/>
      <w:r w:rsidR="006570CA" w:rsidRPr="005447BD">
        <w:rPr>
          <w:rFonts w:ascii="Times New Roman" w:hAnsi="Times New Roman" w:cs="Times New Roman"/>
          <w:b/>
          <w:bCs/>
          <w:color w:val="000000"/>
          <w:sz w:val="24"/>
          <w:szCs w:val="24"/>
          <w:bdr w:val="none" w:sz="0" w:space="0" w:color="auto" w:frame="1"/>
        </w:rPr>
        <w:t>сублінгвальні</w:t>
      </w:r>
      <w:proofErr w:type="spellEnd"/>
      <w:r w:rsidR="006570CA" w:rsidRPr="005447BD">
        <w:rPr>
          <w:rFonts w:ascii="Times New Roman" w:hAnsi="Times New Roman" w:cs="Times New Roman"/>
          <w:b/>
          <w:bCs/>
          <w:color w:val="000000"/>
          <w:sz w:val="24"/>
          <w:szCs w:val="24"/>
          <w:bdr w:val="none" w:sz="0" w:space="0" w:color="auto" w:frame="1"/>
        </w:rPr>
        <w:t xml:space="preserve"> по 0,5 мг по 40 таблеток, Преднізолон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bdr w:val="none" w:sz="0" w:space="0" w:color="auto" w:frame="1"/>
        </w:rPr>
        <w:t>Prednisolone</w:t>
      </w:r>
      <w:proofErr w:type="spellEnd"/>
      <w:r w:rsidR="006570CA" w:rsidRPr="005447BD">
        <w:rPr>
          <w:rFonts w:ascii="Times New Roman" w:hAnsi="Times New Roman" w:cs="Times New Roman"/>
          <w:b/>
          <w:bCs/>
          <w:color w:val="000000" w:themeColor="text1"/>
          <w:sz w:val="24"/>
          <w:szCs w:val="24"/>
          <w:bdr w:val="none" w:sz="0" w:space="0" w:color="auto" w:frame="1"/>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 30 мг/</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по 1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№3, </w:t>
      </w:r>
      <w:proofErr w:type="spellStart"/>
      <w:r w:rsidR="006570CA" w:rsidRPr="005447BD">
        <w:rPr>
          <w:rFonts w:ascii="Times New Roman" w:hAnsi="Times New Roman" w:cs="Times New Roman"/>
          <w:b/>
          <w:bCs/>
          <w:color w:val="000000" w:themeColor="text1"/>
          <w:sz w:val="24"/>
          <w:szCs w:val="24"/>
          <w:bdr w:val="none" w:sz="0" w:space="0" w:color="auto" w:frame="1"/>
        </w:rPr>
        <w:t>Фармадипін</w:t>
      </w:r>
      <w:proofErr w:type="spellEnd"/>
      <w:r w:rsidR="006570CA" w:rsidRPr="005447BD">
        <w:rPr>
          <w:rFonts w:ascii="Times New Roman" w:hAnsi="Times New Roman" w:cs="Times New Roman"/>
          <w:b/>
          <w:bCs/>
          <w:color w:val="000000" w:themeColor="text1"/>
          <w:sz w:val="24"/>
          <w:szCs w:val="24"/>
          <w:bdr w:val="none" w:sz="0" w:space="0" w:color="auto" w:frame="1"/>
        </w:rPr>
        <w:t xml:space="preserve"> (</w:t>
      </w:r>
      <w:proofErr w:type="spellStart"/>
      <w:r w:rsidR="006570CA" w:rsidRPr="005447BD">
        <w:rPr>
          <w:rFonts w:ascii="Times New Roman" w:hAnsi="Times New Roman" w:cs="Times New Roman"/>
          <w:b/>
          <w:bCs/>
          <w:color w:val="000000" w:themeColor="text1"/>
          <w:sz w:val="24"/>
          <w:szCs w:val="24"/>
        </w:rPr>
        <w:t>Nifedipine</w:t>
      </w:r>
      <w:proofErr w:type="spellEnd"/>
      <w:r w:rsidR="006570CA" w:rsidRPr="005447BD">
        <w:rPr>
          <w:rFonts w:ascii="Times New Roman" w:hAnsi="Times New Roman" w:cs="Times New Roman"/>
          <w:b/>
          <w:bCs/>
          <w:color w:val="000000" w:themeColor="text1"/>
          <w:sz w:val="24"/>
          <w:szCs w:val="24"/>
        </w:rPr>
        <w:t>)</w:t>
      </w:r>
      <w:r w:rsidR="006570CA" w:rsidRPr="005447BD">
        <w:rPr>
          <w:rFonts w:ascii="Times New Roman" w:hAnsi="Times New Roman" w:cs="Times New Roman"/>
          <w:b/>
          <w:bCs/>
          <w:color w:val="000000"/>
          <w:sz w:val="24"/>
          <w:szCs w:val="24"/>
          <w:bdr w:val="none" w:sz="0" w:space="0" w:color="auto" w:frame="1"/>
        </w:rPr>
        <w:t xml:space="preserve"> краплі оральні 2% по 5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E05342"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визначену п. 1.2.  Договору, а ЗАМОВНИК - прийняти таку продукцію та оплатити її в порядку та на умовах,  визначених цим Договором.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Pr="006A6FA1">
        <w:rPr>
          <w:rFonts w:ascii="Times New Roman" w:eastAsia="Times New Roman" w:hAnsi="Times New Roman" w:cs="Times New Roman"/>
          <w:b/>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w:t>
      </w:r>
      <w:r w:rsidRPr="006A6FA1">
        <w:rPr>
          <w:rFonts w:ascii="Times New Roman" w:eastAsia="Times New Roman" w:hAnsi="Times New Roman" w:cs="Times New Roman"/>
          <w:color w:val="000000" w:themeColor="text1"/>
          <w:sz w:val="24"/>
          <w:szCs w:val="24"/>
        </w:rPr>
        <w:lastRenderedPageBreak/>
        <w:t xml:space="preserve">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A43699"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16"/>
          <w:szCs w:val="16"/>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продукція,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lastRenderedPageBreak/>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A43699" w:rsidRPr="00322BCF" w:rsidRDefault="00A43699" w:rsidP="00A43699">
      <w:pPr>
        <w:pStyle w:val="20"/>
        <w:numPr>
          <w:ilvl w:val="0"/>
          <w:numId w:val="15"/>
        </w:numPr>
        <w:shd w:val="clear" w:color="auto" w:fill="auto"/>
        <w:spacing w:after="120" w:line="240" w:lineRule="auto"/>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2023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6570CA"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6570CA">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CF406F">
      <w:pPr>
        <w:pStyle w:val="rvps2"/>
        <w:shd w:val="clear" w:color="auto" w:fill="FFFFFF"/>
        <w:spacing w:before="0" w:beforeAutospacing="0" w:after="15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 xml:space="preserve">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w:t>
      </w:r>
      <w:r w:rsidRPr="006A6FA1">
        <w:rPr>
          <w:color w:val="000000" w:themeColor="text1"/>
          <w:sz w:val="24"/>
          <w:szCs w:val="24"/>
        </w:rPr>
        <w:lastRenderedPageBreak/>
        <w:t>встановлено у самій додатковій угоді, цьому Договорі або у чинному законодавстві України.</w:t>
      </w:r>
    </w:p>
    <w:p w:rsidR="00D2706C" w:rsidRPr="006A6FA1" w:rsidRDefault="00D2706C" w:rsidP="00D2706C">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E6554A" w:rsidRPr="006A6FA1" w:rsidTr="00FB401D">
        <w:trPr>
          <w:trHeight w:val="3925"/>
        </w:trPr>
        <w:tc>
          <w:tcPr>
            <w:tcW w:w="5103"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4962"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IBAN: UA 323052990000026009020122166 </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 АТ КБ «Приватбанк»</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415A9E"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570CA" w:rsidRDefault="00E6554A" w:rsidP="00FB401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CE64E2" w:rsidRPr="006A6FA1" w:rsidRDefault="00CE64E2"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color w:val="000000" w:themeColor="text1"/>
          <w:sz w:val="24"/>
          <w:szCs w:val="24"/>
        </w:rPr>
      </w:pPr>
    </w:p>
    <w:p w:rsidR="00E6554A" w:rsidRPr="006A6FA1" w:rsidRDefault="00E6554A">
      <w:pPr>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br w:type="page"/>
      </w:r>
    </w:p>
    <w:p w:rsidR="00C1077E" w:rsidRPr="006570CA"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6570CA">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«___» __________ 202</w:t>
      </w:r>
      <w:r w:rsidR="00E6554A" w:rsidRPr="006A6FA1">
        <w:rPr>
          <w:rFonts w:ascii="Times New Roman" w:eastAsia="Times New Roman" w:hAnsi="Times New Roman" w:cs="Times New Roman"/>
          <w:color w:val="000000" w:themeColor="text1"/>
          <w:sz w:val="24"/>
          <w:szCs w:val="24"/>
        </w:rPr>
        <w:t>3</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6A6FA1"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 xml:space="preserve">від «___» __________ 202__ року (далі – Договір), розуміється: </w:t>
      </w:r>
      <w:r w:rsidR="00CA5AA0" w:rsidRPr="006A6FA1">
        <w:rPr>
          <w:rFonts w:ascii="Times New Roman" w:hAnsi="Times New Roman" w:cs="Times New Roman"/>
          <w:b/>
          <w:bCs/>
          <w:color w:val="000000" w:themeColor="text1"/>
          <w:sz w:val="24"/>
          <w:szCs w:val="24"/>
        </w:rPr>
        <w:t>Фармацевтична продукція за</w:t>
      </w:r>
      <w:r w:rsidR="00CA5AA0" w:rsidRPr="006A6FA1">
        <w:rPr>
          <w:rFonts w:ascii="Times New Roman" w:hAnsi="Times New Roman" w:cs="Times New Roman"/>
          <w:b/>
          <w:color w:val="000000" w:themeColor="text1"/>
          <w:sz w:val="24"/>
          <w:szCs w:val="24"/>
        </w:rPr>
        <w:t xml:space="preserve"> </w:t>
      </w:r>
      <w:proofErr w:type="spellStart"/>
      <w:r w:rsidR="00CA5AA0" w:rsidRPr="006A6FA1">
        <w:rPr>
          <w:rFonts w:ascii="Times New Roman" w:hAnsi="Times New Roman" w:cs="Times New Roman"/>
          <w:b/>
          <w:color w:val="000000" w:themeColor="text1"/>
          <w:sz w:val="24"/>
          <w:szCs w:val="24"/>
        </w:rPr>
        <w:t>ДК</w:t>
      </w:r>
      <w:proofErr w:type="spellEnd"/>
      <w:r w:rsidR="00CA5AA0" w:rsidRPr="006A6FA1">
        <w:rPr>
          <w:rFonts w:ascii="Times New Roman" w:hAnsi="Times New Roman" w:cs="Times New Roman"/>
          <w:b/>
          <w:color w:val="000000" w:themeColor="text1"/>
          <w:sz w:val="24"/>
          <w:szCs w:val="24"/>
        </w:rPr>
        <w:t xml:space="preserve"> 021:2015 – </w:t>
      </w:r>
      <w:r w:rsidR="00CA5AA0" w:rsidRPr="006A6FA1">
        <w:rPr>
          <w:rFonts w:ascii="Times New Roman" w:hAnsi="Times New Roman" w:cs="Times New Roman"/>
          <w:b/>
          <w:bCs/>
          <w:color w:val="000000" w:themeColor="text1"/>
          <w:sz w:val="24"/>
          <w:szCs w:val="24"/>
        </w:rPr>
        <w:t>33600000-6</w:t>
      </w:r>
      <w:r w:rsidR="003D28D0" w:rsidRPr="006A6FA1">
        <w:rPr>
          <w:rFonts w:ascii="Times New Roman" w:hAnsi="Times New Roman" w:cs="Times New Roman"/>
          <w:b/>
          <w:bCs/>
          <w:color w:val="000000" w:themeColor="text1"/>
          <w:sz w:val="24"/>
          <w:szCs w:val="24"/>
        </w:rPr>
        <w:t xml:space="preserve">: </w:t>
      </w:r>
      <w:r w:rsidR="006570CA" w:rsidRPr="005447BD">
        <w:rPr>
          <w:rFonts w:ascii="Times New Roman" w:hAnsi="Times New Roman" w:cs="Times New Roman"/>
          <w:b/>
          <w:bCs/>
          <w:color w:val="000000"/>
          <w:sz w:val="24"/>
          <w:szCs w:val="24"/>
          <w:bdr w:val="none" w:sz="0" w:space="0" w:color="auto" w:frame="1"/>
        </w:rPr>
        <w:t xml:space="preserve">Глюкози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rPr>
        <w:t>Glucose</w:t>
      </w:r>
      <w:proofErr w:type="spellEnd"/>
      <w:r w:rsidR="006570CA" w:rsidRPr="005447BD">
        <w:rPr>
          <w:rFonts w:ascii="Times New Roman" w:hAnsi="Times New Roman" w:cs="Times New Roman"/>
          <w:b/>
          <w:bCs/>
          <w:color w:val="000000" w:themeColor="text1"/>
          <w:sz w:val="24"/>
          <w:szCs w:val="24"/>
        </w:rPr>
        <w:t xml:space="preserve">) </w:t>
      </w:r>
      <w:r w:rsidR="006570CA" w:rsidRPr="005447BD">
        <w:rPr>
          <w:rFonts w:ascii="Times New Roman" w:hAnsi="Times New Roman" w:cs="Times New Roman"/>
          <w:b/>
          <w:bCs/>
          <w:color w:val="000000"/>
          <w:sz w:val="24"/>
          <w:szCs w:val="24"/>
          <w:bdr w:val="none" w:sz="0" w:space="0" w:color="auto" w:frame="1"/>
        </w:rPr>
        <w:t xml:space="preserve">розчин для ін'єкцій 40 % по 20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№10, </w:t>
      </w:r>
      <w:proofErr w:type="spellStart"/>
      <w:r w:rsidR="006570CA" w:rsidRPr="005447BD">
        <w:rPr>
          <w:rFonts w:ascii="Times New Roman" w:hAnsi="Times New Roman" w:cs="Times New Roman"/>
          <w:b/>
          <w:bCs/>
          <w:color w:val="000000"/>
          <w:sz w:val="24"/>
          <w:szCs w:val="24"/>
          <w:bdr w:val="none" w:sz="0" w:space="0" w:color="auto" w:frame="1"/>
        </w:rPr>
        <w:t>Дротаверин</w:t>
      </w:r>
      <w:proofErr w:type="spellEnd"/>
      <w:r w:rsidR="006570CA" w:rsidRPr="005447BD">
        <w:rPr>
          <w:rFonts w:ascii="Times New Roman" w:hAnsi="Times New Roman" w:cs="Times New Roman"/>
          <w:b/>
          <w:bCs/>
          <w:color w:val="000000"/>
          <w:sz w:val="24"/>
          <w:szCs w:val="24"/>
          <w:bdr w:val="none" w:sz="0" w:space="0" w:color="auto" w:frame="1"/>
        </w:rPr>
        <w:t xml:space="preserve">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rPr>
        <w:t>Drotaverine</w:t>
      </w:r>
      <w:proofErr w:type="spellEnd"/>
      <w:r w:rsidR="006570CA" w:rsidRPr="005447BD">
        <w:rPr>
          <w:rFonts w:ascii="Times New Roman" w:hAnsi="Times New Roman" w:cs="Times New Roman"/>
          <w:b/>
          <w:bCs/>
          <w:color w:val="000000" w:themeColor="text1"/>
          <w:sz w:val="24"/>
          <w:szCs w:val="24"/>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 20 мг/</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по 2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№5, </w:t>
      </w:r>
      <w:proofErr w:type="spellStart"/>
      <w:r w:rsidR="006570CA" w:rsidRPr="005447BD">
        <w:rPr>
          <w:rFonts w:ascii="Times New Roman" w:hAnsi="Times New Roman" w:cs="Times New Roman"/>
          <w:b/>
          <w:bCs/>
          <w:color w:val="000000" w:themeColor="text1"/>
          <w:sz w:val="24"/>
          <w:szCs w:val="24"/>
        </w:rPr>
        <w:t>Ізо-Мік</w:t>
      </w:r>
      <w:proofErr w:type="spellEnd"/>
      <w:r w:rsidR="006570CA" w:rsidRPr="005447BD">
        <w:rPr>
          <w:rFonts w:ascii="Times New Roman" w:hAnsi="Times New Roman" w:cs="Times New Roman"/>
          <w:b/>
          <w:bCs/>
          <w:color w:val="000000" w:themeColor="text1"/>
          <w:sz w:val="24"/>
          <w:szCs w:val="24"/>
          <w:bdr w:val="none" w:sz="0" w:space="0" w:color="auto" w:frame="1"/>
        </w:rPr>
        <w:t xml:space="preserve"> (</w:t>
      </w:r>
      <w:proofErr w:type="spellStart"/>
      <w:r w:rsidR="006570CA" w:rsidRPr="005447BD">
        <w:rPr>
          <w:rFonts w:ascii="Times New Roman" w:hAnsi="Times New Roman" w:cs="Times New Roman"/>
          <w:b/>
          <w:color w:val="000000" w:themeColor="text1"/>
          <w:sz w:val="24"/>
          <w:szCs w:val="24"/>
          <w:shd w:val="clear" w:color="auto" w:fill="FFFFFF"/>
        </w:rPr>
        <w:t>Isosorbide</w:t>
      </w:r>
      <w:proofErr w:type="spellEnd"/>
      <w:r w:rsidR="006570CA" w:rsidRPr="005447BD">
        <w:rPr>
          <w:rFonts w:ascii="Times New Roman" w:hAnsi="Times New Roman" w:cs="Times New Roman"/>
          <w:b/>
          <w:color w:val="000000" w:themeColor="text1"/>
          <w:sz w:val="24"/>
          <w:szCs w:val="24"/>
          <w:shd w:val="clear" w:color="auto" w:fill="FFFFFF"/>
        </w:rPr>
        <w:t xml:space="preserve"> </w:t>
      </w:r>
      <w:proofErr w:type="spellStart"/>
      <w:r w:rsidR="006570CA" w:rsidRPr="005447BD">
        <w:rPr>
          <w:rFonts w:ascii="Times New Roman" w:hAnsi="Times New Roman" w:cs="Times New Roman"/>
          <w:b/>
          <w:color w:val="000000" w:themeColor="text1"/>
          <w:sz w:val="24"/>
          <w:szCs w:val="24"/>
          <w:shd w:val="clear" w:color="auto" w:fill="FFFFFF"/>
        </w:rPr>
        <w:t>dinitrate</w:t>
      </w:r>
      <w:proofErr w:type="spellEnd"/>
      <w:r w:rsidR="006570CA" w:rsidRPr="005447BD">
        <w:rPr>
          <w:rFonts w:ascii="Times New Roman" w:hAnsi="Times New Roman" w:cs="Times New Roman"/>
          <w:b/>
          <w:color w:val="000000" w:themeColor="text1"/>
          <w:sz w:val="24"/>
          <w:szCs w:val="24"/>
          <w:shd w:val="clear" w:color="auto" w:fill="FFFFFF"/>
        </w:rPr>
        <w:t xml:space="preserve">) </w:t>
      </w:r>
      <w:proofErr w:type="spellStart"/>
      <w:r w:rsidR="006570CA" w:rsidRPr="005447BD">
        <w:rPr>
          <w:rFonts w:ascii="Times New Roman" w:hAnsi="Times New Roman" w:cs="Times New Roman"/>
          <w:b/>
          <w:bCs/>
          <w:color w:val="000000"/>
          <w:sz w:val="24"/>
          <w:szCs w:val="24"/>
          <w:bdr w:val="none" w:sz="0" w:space="0" w:color="auto" w:frame="1"/>
        </w:rPr>
        <w:t>спрей</w:t>
      </w:r>
      <w:proofErr w:type="spellEnd"/>
      <w:r w:rsidR="006570CA" w:rsidRPr="005447BD">
        <w:rPr>
          <w:rFonts w:ascii="Times New Roman" w:hAnsi="Times New Roman" w:cs="Times New Roman"/>
          <w:b/>
          <w:bCs/>
          <w:color w:val="000000"/>
          <w:sz w:val="24"/>
          <w:szCs w:val="24"/>
          <w:bdr w:val="none" w:sz="0" w:space="0" w:color="auto" w:frame="1"/>
        </w:rPr>
        <w:t xml:space="preserve"> </w:t>
      </w:r>
      <w:proofErr w:type="spellStart"/>
      <w:r w:rsidR="006570CA" w:rsidRPr="005447BD">
        <w:rPr>
          <w:rFonts w:ascii="Times New Roman" w:hAnsi="Times New Roman" w:cs="Times New Roman"/>
          <w:b/>
          <w:bCs/>
          <w:color w:val="000000"/>
          <w:sz w:val="24"/>
          <w:szCs w:val="24"/>
          <w:bdr w:val="none" w:sz="0" w:space="0" w:color="auto" w:frame="1"/>
        </w:rPr>
        <w:t>сублінгвальний</w:t>
      </w:r>
      <w:proofErr w:type="spellEnd"/>
      <w:r w:rsidR="006570CA" w:rsidRPr="005447BD">
        <w:rPr>
          <w:rFonts w:ascii="Times New Roman" w:hAnsi="Times New Roman" w:cs="Times New Roman"/>
          <w:b/>
          <w:bCs/>
          <w:color w:val="000000"/>
          <w:sz w:val="24"/>
          <w:szCs w:val="24"/>
          <w:bdr w:val="none" w:sz="0" w:space="0" w:color="auto" w:frame="1"/>
        </w:rPr>
        <w:t xml:space="preserve"> дозований, 1,25 мг/дозу по 15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w:t>
      </w:r>
      <w:proofErr w:type="spellStart"/>
      <w:r w:rsidR="006570CA" w:rsidRPr="005447BD">
        <w:rPr>
          <w:rFonts w:ascii="Times New Roman" w:hAnsi="Times New Roman" w:cs="Times New Roman"/>
          <w:b/>
          <w:bCs/>
          <w:color w:val="000000"/>
          <w:sz w:val="24"/>
          <w:szCs w:val="24"/>
          <w:bdr w:val="none" w:sz="0" w:space="0" w:color="auto" w:frame="1"/>
        </w:rPr>
        <w:t>Корглікон</w:t>
      </w:r>
      <w:proofErr w:type="spellEnd"/>
      <w:r w:rsidR="006570CA" w:rsidRPr="005447BD">
        <w:rPr>
          <w:rFonts w:ascii="Times New Roman" w:hAnsi="Times New Roman" w:cs="Times New Roman"/>
          <w:b/>
          <w:bCs/>
          <w:color w:val="000000"/>
          <w:sz w:val="24"/>
          <w:szCs w:val="24"/>
          <w:bdr w:val="none" w:sz="0" w:space="0" w:color="auto" w:frame="1"/>
        </w:rPr>
        <w:t xml:space="preserve">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color w:val="000000" w:themeColor="text1"/>
          <w:sz w:val="24"/>
          <w:szCs w:val="24"/>
          <w:shd w:val="clear" w:color="auto" w:fill="FFFFFF"/>
        </w:rPr>
        <w:t>Corglycon</w:t>
      </w:r>
      <w:proofErr w:type="spellEnd"/>
      <w:r w:rsidR="006570CA" w:rsidRPr="005447BD">
        <w:rPr>
          <w:rFonts w:ascii="Times New Roman" w:hAnsi="Times New Roman" w:cs="Times New Roman"/>
          <w:b/>
          <w:color w:val="000000" w:themeColor="text1"/>
          <w:sz w:val="24"/>
          <w:szCs w:val="24"/>
          <w:shd w:val="clear" w:color="auto" w:fill="FFFFFF"/>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 0,6 мг/</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по 1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№10, Магнію сульфату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rPr>
        <w:t>Magnesium</w:t>
      </w:r>
      <w:proofErr w:type="spellEnd"/>
      <w:r w:rsidR="006570CA" w:rsidRPr="005447BD">
        <w:rPr>
          <w:rFonts w:ascii="Times New Roman" w:hAnsi="Times New Roman" w:cs="Times New Roman"/>
          <w:b/>
          <w:bCs/>
          <w:color w:val="000000" w:themeColor="text1"/>
          <w:sz w:val="24"/>
          <w:szCs w:val="24"/>
        </w:rPr>
        <w:t xml:space="preserve"> </w:t>
      </w:r>
      <w:proofErr w:type="spellStart"/>
      <w:r w:rsidR="006570CA" w:rsidRPr="005447BD">
        <w:rPr>
          <w:rFonts w:ascii="Times New Roman" w:hAnsi="Times New Roman" w:cs="Times New Roman"/>
          <w:b/>
          <w:bCs/>
          <w:color w:val="000000" w:themeColor="text1"/>
          <w:sz w:val="24"/>
          <w:szCs w:val="24"/>
        </w:rPr>
        <w:t>sulfate</w:t>
      </w:r>
      <w:proofErr w:type="spellEnd"/>
      <w:r w:rsidR="006570CA" w:rsidRPr="005447BD">
        <w:rPr>
          <w:rFonts w:ascii="Times New Roman" w:hAnsi="Times New Roman" w:cs="Times New Roman"/>
          <w:b/>
          <w:bCs/>
          <w:color w:val="000000" w:themeColor="text1"/>
          <w:sz w:val="24"/>
          <w:szCs w:val="24"/>
        </w:rPr>
        <w:t>)</w:t>
      </w:r>
      <w:r w:rsidR="006570CA" w:rsidRPr="005447BD">
        <w:rPr>
          <w:rFonts w:ascii="Times New Roman" w:hAnsi="Times New Roman" w:cs="Times New Roman"/>
          <w:b/>
          <w:bCs/>
          <w:color w:val="000000" w:themeColor="text1"/>
          <w:sz w:val="24"/>
          <w:szCs w:val="24"/>
          <w:bdr w:val="none" w:sz="0" w:space="0" w:color="auto" w:frame="1"/>
        </w:rPr>
        <w:t xml:space="preserve"> розчин для ін'єкцій,</w:t>
      </w:r>
      <w:r w:rsidR="006570CA" w:rsidRPr="005447BD">
        <w:rPr>
          <w:rFonts w:ascii="Times New Roman" w:hAnsi="Times New Roman" w:cs="Times New Roman"/>
          <w:b/>
          <w:color w:val="000000" w:themeColor="text1"/>
          <w:sz w:val="24"/>
          <w:szCs w:val="24"/>
          <w:shd w:val="clear" w:color="auto" w:fill="FDFEFD"/>
        </w:rPr>
        <w:t xml:space="preserve"> 250 мг/</w:t>
      </w:r>
      <w:proofErr w:type="spellStart"/>
      <w:r w:rsidR="006570CA" w:rsidRPr="005447BD">
        <w:rPr>
          <w:rFonts w:ascii="Times New Roman" w:hAnsi="Times New Roman" w:cs="Times New Roman"/>
          <w:b/>
          <w:color w:val="000000" w:themeColor="text1"/>
          <w:sz w:val="24"/>
          <w:szCs w:val="24"/>
          <w:shd w:val="clear" w:color="auto" w:fill="FDFEFD"/>
        </w:rPr>
        <w:t>мл</w:t>
      </w:r>
      <w:proofErr w:type="spellEnd"/>
      <w:r w:rsidR="006570CA" w:rsidRPr="005447BD">
        <w:rPr>
          <w:rFonts w:ascii="Times New Roman" w:hAnsi="Times New Roman" w:cs="Times New Roman"/>
          <w:b/>
          <w:color w:val="000000" w:themeColor="text1"/>
          <w:sz w:val="24"/>
          <w:szCs w:val="24"/>
          <w:shd w:val="clear" w:color="auto" w:fill="FDFEFD"/>
        </w:rPr>
        <w:t xml:space="preserve"> по </w:t>
      </w:r>
      <w:r w:rsidR="006570CA" w:rsidRPr="005447BD">
        <w:rPr>
          <w:rFonts w:ascii="Times New Roman" w:hAnsi="Times New Roman" w:cs="Times New Roman"/>
          <w:b/>
          <w:bCs/>
          <w:color w:val="000000"/>
          <w:sz w:val="24"/>
          <w:szCs w:val="24"/>
          <w:bdr w:val="none" w:sz="0" w:space="0" w:color="auto" w:frame="1"/>
        </w:rPr>
        <w:t xml:space="preserve">5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 10, </w:t>
      </w:r>
      <w:proofErr w:type="spellStart"/>
      <w:r w:rsidR="006570CA" w:rsidRPr="005447BD">
        <w:rPr>
          <w:rFonts w:ascii="Times New Roman" w:hAnsi="Times New Roman" w:cs="Times New Roman"/>
          <w:b/>
          <w:bCs/>
          <w:color w:val="000000"/>
          <w:sz w:val="24"/>
          <w:szCs w:val="24"/>
          <w:bdr w:val="none" w:sz="0" w:space="0" w:color="auto" w:frame="1"/>
        </w:rPr>
        <w:t>Метоклопрамід</w:t>
      </w:r>
      <w:proofErr w:type="spellEnd"/>
      <w:r w:rsidR="006570CA" w:rsidRPr="005447BD">
        <w:rPr>
          <w:rFonts w:ascii="Times New Roman" w:hAnsi="Times New Roman" w:cs="Times New Roman"/>
          <w:b/>
          <w:bCs/>
          <w:color w:val="000000"/>
          <w:sz w:val="24"/>
          <w:szCs w:val="24"/>
          <w:bdr w:val="none" w:sz="0" w:space="0" w:color="auto" w:frame="1"/>
        </w:rPr>
        <w:t xml:space="preserve">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color w:val="000000" w:themeColor="text1"/>
          <w:sz w:val="24"/>
          <w:szCs w:val="24"/>
          <w:shd w:val="clear" w:color="auto" w:fill="FFFFFF"/>
        </w:rPr>
        <w:t>Metoclopramide</w:t>
      </w:r>
      <w:proofErr w:type="spellEnd"/>
      <w:r w:rsidR="006570CA" w:rsidRPr="005447BD">
        <w:rPr>
          <w:rFonts w:ascii="Times New Roman" w:hAnsi="Times New Roman" w:cs="Times New Roman"/>
          <w:b/>
          <w:color w:val="000000" w:themeColor="text1"/>
          <w:sz w:val="24"/>
          <w:szCs w:val="24"/>
          <w:shd w:val="clear" w:color="auto" w:fill="FFFFFF"/>
        </w:rPr>
        <w:t>)</w:t>
      </w:r>
      <w:r w:rsidR="006570CA" w:rsidRPr="005447BD">
        <w:rPr>
          <w:rFonts w:ascii="Times New Roman" w:hAnsi="Times New Roman" w:cs="Times New Roman"/>
          <w:b/>
          <w:bCs/>
          <w:color w:val="000000" w:themeColor="text1"/>
          <w:sz w:val="24"/>
          <w:szCs w:val="24"/>
          <w:bdr w:val="none" w:sz="0" w:space="0" w:color="auto" w:frame="1"/>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w:t>
      </w:r>
      <w:r w:rsidR="006570CA" w:rsidRPr="005447BD">
        <w:rPr>
          <w:rFonts w:ascii="Times New Roman" w:hAnsi="Times New Roman" w:cs="Times New Roman"/>
          <w:b/>
          <w:bCs/>
          <w:color w:val="000000" w:themeColor="text1"/>
          <w:sz w:val="24"/>
          <w:szCs w:val="24"/>
          <w:bdr w:val="none" w:sz="0" w:space="0" w:color="auto" w:frame="1"/>
        </w:rPr>
        <w:t xml:space="preserve">, </w:t>
      </w:r>
      <w:r w:rsidR="006570CA" w:rsidRPr="005447BD">
        <w:rPr>
          <w:rFonts w:ascii="Times New Roman" w:hAnsi="Times New Roman" w:cs="Times New Roman"/>
          <w:b/>
          <w:color w:val="000000" w:themeColor="text1"/>
          <w:sz w:val="24"/>
          <w:szCs w:val="24"/>
          <w:shd w:val="clear" w:color="auto" w:fill="F3F3F3"/>
        </w:rPr>
        <w:t>5 мг/</w:t>
      </w:r>
      <w:proofErr w:type="spellStart"/>
      <w:r w:rsidR="006570CA" w:rsidRPr="005447BD">
        <w:rPr>
          <w:rFonts w:ascii="Times New Roman" w:hAnsi="Times New Roman" w:cs="Times New Roman"/>
          <w:b/>
          <w:color w:val="000000" w:themeColor="text1"/>
          <w:sz w:val="24"/>
          <w:szCs w:val="24"/>
          <w:shd w:val="clear" w:color="auto" w:fill="F3F3F3"/>
        </w:rPr>
        <w:t>мл</w:t>
      </w:r>
      <w:proofErr w:type="spellEnd"/>
      <w:r w:rsidR="006570CA" w:rsidRPr="005447BD">
        <w:rPr>
          <w:rFonts w:ascii="Times New Roman" w:hAnsi="Times New Roman" w:cs="Times New Roman"/>
          <w:b/>
          <w:color w:val="000000" w:themeColor="text1"/>
          <w:sz w:val="24"/>
          <w:szCs w:val="24"/>
          <w:shd w:val="clear" w:color="auto" w:fill="F3F3F3"/>
        </w:rPr>
        <w:t xml:space="preserve"> по</w:t>
      </w:r>
      <w:r w:rsidR="006570CA" w:rsidRPr="005447BD">
        <w:rPr>
          <w:rFonts w:ascii="Times New Roman" w:hAnsi="Times New Roman" w:cs="Times New Roman"/>
          <w:b/>
          <w:bCs/>
          <w:color w:val="000000"/>
          <w:sz w:val="24"/>
          <w:szCs w:val="24"/>
          <w:bdr w:val="none" w:sz="0" w:space="0" w:color="auto" w:frame="1"/>
        </w:rPr>
        <w:t xml:space="preserve"> 2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№10, Нітрогліцерин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color w:val="000000" w:themeColor="text1"/>
          <w:sz w:val="24"/>
          <w:szCs w:val="24"/>
          <w:shd w:val="clear" w:color="auto" w:fill="FFFFFF"/>
        </w:rPr>
        <w:t>Glyceryl</w:t>
      </w:r>
      <w:proofErr w:type="spellEnd"/>
      <w:r w:rsidR="006570CA" w:rsidRPr="005447BD">
        <w:rPr>
          <w:rFonts w:ascii="Times New Roman" w:hAnsi="Times New Roman" w:cs="Times New Roman"/>
          <w:b/>
          <w:color w:val="000000" w:themeColor="text1"/>
          <w:sz w:val="24"/>
          <w:szCs w:val="24"/>
          <w:shd w:val="clear" w:color="auto" w:fill="FFFFFF"/>
        </w:rPr>
        <w:t xml:space="preserve"> </w:t>
      </w:r>
      <w:proofErr w:type="spellStart"/>
      <w:r w:rsidR="006570CA" w:rsidRPr="005447BD">
        <w:rPr>
          <w:rFonts w:ascii="Times New Roman" w:hAnsi="Times New Roman" w:cs="Times New Roman"/>
          <w:b/>
          <w:color w:val="000000" w:themeColor="text1"/>
          <w:sz w:val="24"/>
          <w:szCs w:val="24"/>
          <w:shd w:val="clear" w:color="auto" w:fill="FFFFFF"/>
        </w:rPr>
        <w:t>trinitrate</w:t>
      </w:r>
      <w:proofErr w:type="spellEnd"/>
      <w:r w:rsidR="006570CA" w:rsidRPr="005447BD">
        <w:rPr>
          <w:rFonts w:ascii="Times New Roman" w:hAnsi="Times New Roman" w:cs="Times New Roman"/>
          <w:b/>
          <w:color w:val="000000" w:themeColor="text1"/>
          <w:sz w:val="24"/>
          <w:szCs w:val="24"/>
          <w:shd w:val="clear" w:color="auto" w:fill="FFFFFF"/>
        </w:rPr>
        <w:t>)</w:t>
      </w:r>
      <w:r w:rsidR="006570CA" w:rsidRPr="005447BD">
        <w:rPr>
          <w:rFonts w:ascii="Times New Roman" w:hAnsi="Times New Roman" w:cs="Times New Roman"/>
          <w:b/>
          <w:bCs/>
          <w:color w:val="000000"/>
          <w:sz w:val="24"/>
          <w:szCs w:val="24"/>
          <w:bdr w:val="none" w:sz="0" w:space="0" w:color="auto" w:frame="1"/>
        </w:rPr>
        <w:t xml:space="preserve"> таблетки </w:t>
      </w:r>
      <w:proofErr w:type="spellStart"/>
      <w:r w:rsidR="006570CA" w:rsidRPr="005447BD">
        <w:rPr>
          <w:rFonts w:ascii="Times New Roman" w:hAnsi="Times New Roman" w:cs="Times New Roman"/>
          <w:b/>
          <w:bCs/>
          <w:color w:val="000000"/>
          <w:sz w:val="24"/>
          <w:szCs w:val="24"/>
          <w:bdr w:val="none" w:sz="0" w:space="0" w:color="auto" w:frame="1"/>
        </w:rPr>
        <w:t>сублінгвальні</w:t>
      </w:r>
      <w:proofErr w:type="spellEnd"/>
      <w:r w:rsidR="006570CA" w:rsidRPr="005447BD">
        <w:rPr>
          <w:rFonts w:ascii="Times New Roman" w:hAnsi="Times New Roman" w:cs="Times New Roman"/>
          <w:b/>
          <w:bCs/>
          <w:color w:val="000000"/>
          <w:sz w:val="24"/>
          <w:szCs w:val="24"/>
          <w:bdr w:val="none" w:sz="0" w:space="0" w:color="auto" w:frame="1"/>
        </w:rPr>
        <w:t xml:space="preserve"> по 0,5 мг по 40 таблеток, Преднізолон </w:t>
      </w:r>
      <w:r w:rsidR="006570CA" w:rsidRPr="005447BD">
        <w:rPr>
          <w:rFonts w:ascii="Times New Roman" w:hAnsi="Times New Roman" w:cs="Times New Roman"/>
          <w:b/>
          <w:bCs/>
          <w:color w:val="000000" w:themeColor="text1"/>
          <w:sz w:val="24"/>
          <w:szCs w:val="24"/>
          <w:bdr w:val="none" w:sz="0" w:space="0" w:color="auto" w:frame="1"/>
        </w:rPr>
        <w:t>(</w:t>
      </w:r>
      <w:proofErr w:type="spellStart"/>
      <w:r w:rsidR="006570CA" w:rsidRPr="005447BD">
        <w:rPr>
          <w:rFonts w:ascii="Times New Roman" w:hAnsi="Times New Roman" w:cs="Times New Roman"/>
          <w:b/>
          <w:bCs/>
          <w:color w:val="000000" w:themeColor="text1"/>
          <w:sz w:val="24"/>
          <w:szCs w:val="24"/>
          <w:bdr w:val="none" w:sz="0" w:space="0" w:color="auto" w:frame="1"/>
        </w:rPr>
        <w:t>Prednisolone</w:t>
      </w:r>
      <w:proofErr w:type="spellEnd"/>
      <w:r w:rsidR="006570CA" w:rsidRPr="005447BD">
        <w:rPr>
          <w:rFonts w:ascii="Times New Roman" w:hAnsi="Times New Roman" w:cs="Times New Roman"/>
          <w:b/>
          <w:bCs/>
          <w:color w:val="000000" w:themeColor="text1"/>
          <w:sz w:val="24"/>
          <w:szCs w:val="24"/>
          <w:bdr w:val="none" w:sz="0" w:space="0" w:color="auto" w:frame="1"/>
        </w:rPr>
        <w:t xml:space="preserve">) </w:t>
      </w:r>
      <w:r w:rsidR="006570CA" w:rsidRPr="005447BD">
        <w:rPr>
          <w:rFonts w:ascii="Times New Roman" w:hAnsi="Times New Roman" w:cs="Times New Roman"/>
          <w:b/>
          <w:bCs/>
          <w:color w:val="000000"/>
          <w:sz w:val="24"/>
          <w:szCs w:val="24"/>
          <w:bdr w:val="none" w:sz="0" w:space="0" w:color="auto" w:frame="1"/>
        </w:rPr>
        <w:t>розчин для ін'єкцій, 30 мг/</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по 1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006570CA" w:rsidRPr="005447BD">
        <w:rPr>
          <w:rFonts w:ascii="Times New Roman" w:hAnsi="Times New Roman" w:cs="Times New Roman"/>
          <w:b/>
          <w:bCs/>
          <w:color w:val="000000"/>
          <w:sz w:val="24"/>
          <w:szCs w:val="24"/>
          <w:bdr w:val="none" w:sz="0" w:space="0" w:color="auto" w:frame="1"/>
        </w:rPr>
        <w:t xml:space="preserve"> №3, </w:t>
      </w:r>
      <w:proofErr w:type="spellStart"/>
      <w:r w:rsidR="006570CA" w:rsidRPr="005447BD">
        <w:rPr>
          <w:rFonts w:ascii="Times New Roman" w:hAnsi="Times New Roman" w:cs="Times New Roman"/>
          <w:b/>
          <w:bCs/>
          <w:color w:val="000000" w:themeColor="text1"/>
          <w:sz w:val="24"/>
          <w:szCs w:val="24"/>
          <w:bdr w:val="none" w:sz="0" w:space="0" w:color="auto" w:frame="1"/>
        </w:rPr>
        <w:t>Фармадипін</w:t>
      </w:r>
      <w:proofErr w:type="spellEnd"/>
      <w:r w:rsidR="006570CA" w:rsidRPr="005447BD">
        <w:rPr>
          <w:rFonts w:ascii="Times New Roman" w:hAnsi="Times New Roman" w:cs="Times New Roman"/>
          <w:b/>
          <w:bCs/>
          <w:color w:val="000000" w:themeColor="text1"/>
          <w:sz w:val="24"/>
          <w:szCs w:val="24"/>
          <w:bdr w:val="none" w:sz="0" w:space="0" w:color="auto" w:frame="1"/>
        </w:rPr>
        <w:t xml:space="preserve"> (</w:t>
      </w:r>
      <w:proofErr w:type="spellStart"/>
      <w:r w:rsidR="006570CA" w:rsidRPr="005447BD">
        <w:rPr>
          <w:rFonts w:ascii="Times New Roman" w:hAnsi="Times New Roman" w:cs="Times New Roman"/>
          <w:b/>
          <w:bCs/>
          <w:color w:val="000000" w:themeColor="text1"/>
          <w:sz w:val="24"/>
          <w:szCs w:val="24"/>
        </w:rPr>
        <w:t>Nifedipine</w:t>
      </w:r>
      <w:proofErr w:type="spellEnd"/>
      <w:r w:rsidR="006570CA" w:rsidRPr="005447BD">
        <w:rPr>
          <w:rFonts w:ascii="Times New Roman" w:hAnsi="Times New Roman" w:cs="Times New Roman"/>
          <w:b/>
          <w:bCs/>
          <w:color w:val="000000" w:themeColor="text1"/>
          <w:sz w:val="24"/>
          <w:szCs w:val="24"/>
        </w:rPr>
        <w:t>)</w:t>
      </w:r>
      <w:r w:rsidR="006570CA" w:rsidRPr="005447BD">
        <w:rPr>
          <w:rFonts w:ascii="Times New Roman" w:hAnsi="Times New Roman" w:cs="Times New Roman"/>
          <w:b/>
          <w:bCs/>
          <w:color w:val="000000"/>
          <w:sz w:val="24"/>
          <w:szCs w:val="24"/>
          <w:bdr w:val="none" w:sz="0" w:space="0" w:color="auto" w:frame="1"/>
        </w:rPr>
        <w:t xml:space="preserve"> краплі оральні 2% по 5 </w:t>
      </w:r>
      <w:proofErr w:type="spellStart"/>
      <w:r w:rsidR="006570CA" w:rsidRPr="005447BD">
        <w:rPr>
          <w:rFonts w:ascii="Times New Roman" w:hAnsi="Times New Roman" w:cs="Times New Roman"/>
          <w:b/>
          <w:bCs/>
          <w:color w:val="000000"/>
          <w:sz w:val="24"/>
          <w:szCs w:val="24"/>
          <w:bdr w:val="none" w:sz="0" w:space="0" w:color="auto" w:frame="1"/>
        </w:rPr>
        <w:t>мл</w:t>
      </w:r>
      <w:proofErr w:type="spellEnd"/>
      <w:r w:rsidRPr="006A6FA1">
        <w:rPr>
          <w:rFonts w:ascii="Times New Roman" w:eastAsia="Times New Roman" w:hAnsi="Times New Roman" w:cs="Times New Roman"/>
          <w:color w:val="000000" w:themeColor="text1"/>
          <w:sz w:val="24"/>
          <w:szCs w:val="24"/>
        </w:rPr>
        <w:t xml:space="preserve">. </w:t>
      </w:r>
    </w:p>
    <w:p w:rsidR="00CA5AA0" w:rsidRPr="006A6FA1"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391"/>
        <w:gridCol w:w="1240"/>
        <w:gridCol w:w="1244"/>
        <w:gridCol w:w="2163"/>
      </w:tblGrid>
      <w:tr w:rsidR="00C1077E" w:rsidRPr="006A6FA1" w:rsidTr="00CA5AA0">
        <w:trPr>
          <w:cantSplit/>
          <w:trHeight w:val="1128"/>
          <w:tblHeader/>
        </w:trPr>
        <w:tc>
          <w:tcPr>
            <w:tcW w:w="14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669"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(форму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596"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598"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грн.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без ПДВ</w:t>
            </w:r>
          </w:p>
        </w:tc>
        <w:tc>
          <w:tcPr>
            <w:tcW w:w="104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CA5AA0">
        <w:trPr>
          <w:cantSplit/>
          <w:trHeight w:val="393"/>
          <w:tblHeader/>
        </w:trPr>
        <w:tc>
          <w:tcPr>
            <w:tcW w:w="14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669"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6"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8"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5"/>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3"/>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7"/>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3"/>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CE64E2">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C1077E" w:rsidP="00CE64E2">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w:t>
      </w:r>
    </w:p>
    <w:p w:rsidR="00CA5AA0" w:rsidRPr="006A6FA1"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normal"/>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Pr="006A6FA1"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p w:rsidR="00CE64E2" w:rsidRPr="006A6FA1" w:rsidRDefault="00CE64E2" w:rsidP="00C11903">
      <w:pPr>
        <w:pStyle w:val="normal"/>
        <w:widowControl w:val="0"/>
        <w:pBdr>
          <w:top w:val="nil"/>
          <w:left w:val="nil"/>
          <w:bottom w:val="nil"/>
          <w:right w:val="nil"/>
          <w:between w:val="nil"/>
        </w:pBdr>
        <w:spacing w:line="240" w:lineRule="auto"/>
        <w:ind w:right="271"/>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7140E"/>
    <w:rsid w:val="0008653E"/>
    <w:rsid w:val="001F138B"/>
    <w:rsid w:val="002019F3"/>
    <w:rsid w:val="002A27F4"/>
    <w:rsid w:val="002C0591"/>
    <w:rsid w:val="002E183E"/>
    <w:rsid w:val="00375D43"/>
    <w:rsid w:val="003D28D0"/>
    <w:rsid w:val="00415A9E"/>
    <w:rsid w:val="00417807"/>
    <w:rsid w:val="006570CA"/>
    <w:rsid w:val="006A6FA1"/>
    <w:rsid w:val="006C4452"/>
    <w:rsid w:val="006F3A44"/>
    <w:rsid w:val="007C68B2"/>
    <w:rsid w:val="007E1ADE"/>
    <w:rsid w:val="00836DC3"/>
    <w:rsid w:val="00A43699"/>
    <w:rsid w:val="00A45A37"/>
    <w:rsid w:val="00A777BD"/>
    <w:rsid w:val="00C1077E"/>
    <w:rsid w:val="00C11903"/>
    <w:rsid w:val="00C75AAF"/>
    <w:rsid w:val="00CA5AA0"/>
    <w:rsid w:val="00CE64E2"/>
    <w:rsid w:val="00CF406F"/>
    <w:rsid w:val="00D2706C"/>
    <w:rsid w:val="00D9716E"/>
    <w:rsid w:val="00E05342"/>
    <w:rsid w:val="00E07381"/>
    <w:rsid w:val="00E6554A"/>
    <w:rsid w:val="00F41F9E"/>
    <w:rsid w:val="00F50EE9"/>
    <w:rsid w:val="00F84790"/>
    <w:rsid w:val="00FC2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s>
</file>

<file path=word/webSettings.xml><?xml version="1.0" encoding="utf-8"?>
<w:webSettings xmlns:r="http://schemas.openxmlformats.org/officeDocument/2006/relationships" xmlns:w="http://schemas.openxmlformats.org/wordprocessingml/2006/main">
  <w:divs>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356E-57E3-4FFC-BAA0-A2437DE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14913</Words>
  <Characters>8501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13</cp:revision>
  <dcterms:created xsi:type="dcterms:W3CDTF">2023-09-28T08:15:00Z</dcterms:created>
  <dcterms:modified xsi:type="dcterms:W3CDTF">2023-10-06T05:46:00Z</dcterms:modified>
</cp:coreProperties>
</file>