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6F5428B8"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05CDE366"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5B2FE7" w:rsidRPr="006C50BA">
        <w:rPr>
          <w:rFonts w:ascii="Times New Roman" w:hAnsi="Times New Roman" w:cs="Times New Roman"/>
          <w:color w:val="000000"/>
          <w:sz w:val="24"/>
          <w:szCs w:val="24"/>
        </w:rPr>
        <w:t xml:space="preserve"> </w:t>
      </w:r>
      <w:r w:rsidR="005E4A4C" w:rsidRPr="005E4A4C">
        <w:rPr>
          <w:rFonts w:ascii="Times New Roman" w:hAnsi="Times New Roman" w:cs="Times New Roman"/>
          <w:color w:val="000000"/>
          <w:sz w:val="24"/>
          <w:szCs w:val="24"/>
        </w:rPr>
        <w:t xml:space="preserve">Медичні матеріали, код 33140000-3 за ДК 021:2015 «Єдиний закупівельний словник»  (Хірургічні рукавички, код 33141420-0 за ДК 021:2015 "Єдиний закупівельний словник", код 61217  за НК 024:2023 - Рукавички хірургічні з </w:t>
      </w:r>
      <w:proofErr w:type="spellStart"/>
      <w:r w:rsidR="005E4A4C" w:rsidRPr="005E4A4C">
        <w:rPr>
          <w:rFonts w:ascii="Times New Roman" w:hAnsi="Times New Roman" w:cs="Times New Roman"/>
          <w:color w:val="000000"/>
          <w:sz w:val="24"/>
          <w:szCs w:val="24"/>
        </w:rPr>
        <w:t>гваюлового</w:t>
      </w:r>
      <w:proofErr w:type="spellEnd"/>
      <w:r w:rsidR="005E4A4C" w:rsidRPr="005E4A4C">
        <w:rPr>
          <w:rFonts w:ascii="Times New Roman" w:hAnsi="Times New Roman" w:cs="Times New Roman"/>
          <w:color w:val="000000"/>
          <w:sz w:val="24"/>
          <w:szCs w:val="24"/>
        </w:rPr>
        <w:t xml:space="preserve"> латексу з неприпудреною внутрішньою поверхнею)</w:t>
      </w:r>
      <w:r w:rsidRPr="006C50BA">
        <w:rPr>
          <w:rFonts w:ascii="Times New Roman" w:hAnsi="Times New Roman" w:cs="Times New Roman"/>
          <w:sz w:val="24"/>
          <w:szCs w:val="24"/>
        </w:rPr>
        <w:t xml:space="preserve">, в кількості </w:t>
      </w:r>
      <w:r w:rsidR="005E4A4C">
        <w:rPr>
          <w:rFonts w:ascii="Times New Roman" w:hAnsi="Times New Roman" w:cs="Times New Roman"/>
          <w:sz w:val="24"/>
          <w:szCs w:val="24"/>
        </w:rPr>
        <w:t>2</w:t>
      </w:r>
      <w:r w:rsidR="00A27DBD" w:rsidRPr="006C50BA">
        <w:rPr>
          <w:rFonts w:ascii="Times New Roman" w:hAnsi="Times New Roman" w:cs="Times New Roman"/>
          <w:sz w:val="24"/>
          <w:szCs w:val="24"/>
        </w:rPr>
        <w:t xml:space="preserve"> </w:t>
      </w:r>
      <w:r w:rsidR="005E4A4C" w:rsidRPr="006C50BA">
        <w:rPr>
          <w:rFonts w:ascii="Times New Roman" w:hAnsi="Times New Roman" w:cs="Times New Roman"/>
          <w:sz w:val="24"/>
          <w:szCs w:val="24"/>
        </w:rPr>
        <w:t>найменуванн</w:t>
      </w:r>
      <w:r w:rsidR="005E4A4C">
        <w:rPr>
          <w:rFonts w:ascii="Times New Roman" w:hAnsi="Times New Roman" w:cs="Times New Roman"/>
          <w:sz w:val="24"/>
          <w:szCs w:val="24"/>
        </w:rPr>
        <w:t>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117D8954"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w:t>
      </w:r>
      <w:r w:rsidR="00EE019E">
        <w:rPr>
          <w:rFonts w:ascii="Times New Roman" w:hAnsi="Times New Roman" w:cs="Times New Roman"/>
          <w:sz w:val="24"/>
          <w:szCs w:val="24"/>
        </w:rPr>
        <w:t xml:space="preserve"> </w:t>
      </w:r>
      <w:r w:rsidRPr="006C50BA">
        <w:rPr>
          <w:rFonts w:ascii="Times New Roman" w:hAnsi="Times New Roman" w:cs="Times New Roman"/>
          <w:sz w:val="24"/>
          <w:szCs w:val="24"/>
        </w:rPr>
        <w:t>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77E5FC85"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r w:rsidR="00A265A3" w:rsidRPr="006C50BA">
        <w:rPr>
          <w:rFonts w:ascii="Times New Roman" w:hAnsi="Times New Roman" w:cs="Times New Roman"/>
          <w:color w:val="000000"/>
          <w:sz w:val="24"/>
          <w:szCs w:val="24"/>
        </w:rPr>
        <w:t>Термін придатності не менше 1 року на момент постачання</w:t>
      </w:r>
      <w:bookmarkEnd w:id="0"/>
      <w:r w:rsidR="00A265A3" w:rsidRPr="006C50BA">
        <w:rPr>
          <w:rFonts w:ascii="Times New Roman" w:hAnsi="Times New Roman" w:cs="Times New Roman"/>
          <w:color w:val="000000"/>
          <w:sz w:val="24"/>
          <w:szCs w:val="24"/>
        </w:rPr>
        <w:t xml:space="preserve">. </w:t>
      </w:r>
      <w:r w:rsidR="00EE019E" w:rsidRPr="00EE019E">
        <w:rPr>
          <w:rFonts w:ascii="Times New Roman" w:hAnsi="Times New Roman" w:cs="Times New Roman"/>
          <w:color w:val="000000"/>
          <w:sz w:val="24"/>
          <w:szCs w:val="24"/>
        </w:rPr>
        <w:t>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4492A0FE"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6.2. </w:t>
      </w:r>
      <w:r w:rsidR="00EE019E" w:rsidRPr="00EE019E">
        <w:rPr>
          <w:rFonts w:ascii="Times New Roman" w:hAnsi="Times New Roman" w:cs="Times New Roman"/>
          <w:sz w:val="24"/>
          <w:szCs w:val="24"/>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w:t>
      </w:r>
      <w:r w:rsidRPr="006C50BA">
        <w:rPr>
          <w:rFonts w:ascii="Times New Roman" w:hAnsi="Times New Roman" w:cs="Times New Roman"/>
          <w:sz w:val="24"/>
          <w:szCs w:val="24"/>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65E0B508"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788DE8DE"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2B7B3D"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23D742"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12.3.1 зменшення обсягів закупівлі, зокрема з урахуванням фактичного обсягу видатків замовника;</w:t>
      </w:r>
    </w:p>
    <w:p w14:paraId="2C05E1CF"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w:t>
      </w:r>
      <w:r w:rsidRPr="00EC7DA7">
        <w:rPr>
          <w:rFonts w:ascii="Times New Roman" w:hAnsi="Times New Roman"/>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B48C13"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416EB8DA"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B65817"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215E3C7B"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3742F128"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2A6765" w14:textId="77777777"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67720E08" w14:textId="156B804D" w:rsidR="006F1C34" w:rsidRDefault="00EE019E" w:rsidP="00EE019E">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w:t>
      </w:r>
      <w:r w:rsidRPr="006C50BA">
        <w:rPr>
          <w:rFonts w:ascii="Times New Roman" w:eastAsia="SimSun" w:hAnsi="Times New Roman" w:cs="Times New Roman"/>
          <w:bCs/>
          <w:kern w:val="3"/>
          <w:sz w:val="24"/>
          <w:szCs w:val="24"/>
          <w:lang w:eastAsia="zh-CN" w:bidi="hi-IN"/>
        </w:rPr>
        <w:lastRenderedPageBreak/>
        <w:t>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lastRenderedPageBreak/>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3F4B2AC9"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5F6689B0" w14:textId="7413763A" w:rsidR="00EE019E" w:rsidRPr="00EC7DA7" w:rsidRDefault="00EE019E" w:rsidP="00EE019E">
      <w:pPr>
        <w:widowControl w:val="0"/>
        <w:autoSpaceDE w:val="0"/>
        <w:autoSpaceDN w:val="0"/>
        <w:adjustRightInd w:val="0"/>
        <w:spacing w:after="0" w:line="240" w:lineRule="auto"/>
        <w:jc w:val="center"/>
        <w:rPr>
          <w:rFonts w:ascii="Times New Roman" w:hAnsi="Times New Roman"/>
          <w:b/>
          <w:sz w:val="24"/>
          <w:szCs w:val="24"/>
        </w:rPr>
      </w:pPr>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7BBD1986" w14:textId="758AC506"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proofErr w:type="spellStart"/>
      <w:r w:rsidRPr="00EC7DA7">
        <w:rPr>
          <w:rFonts w:ascii="Times New Roman" w:hAnsi="Times New Roman"/>
          <w:sz w:val="24"/>
          <w:szCs w:val="24"/>
        </w:rPr>
        <w:t>проєкт</w:t>
      </w:r>
      <w:proofErr w:type="spellEnd"/>
      <w:r w:rsidRPr="00EC7DA7">
        <w:rPr>
          <w:rFonts w:ascii="Times New Roman" w:hAnsi="Times New Roman"/>
          <w:sz w:val="24"/>
          <w:szCs w:val="24"/>
        </w:rPr>
        <w:t xml:space="preserve"> додаткової угоди) до Договору.</w:t>
      </w:r>
    </w:p>
    <w:p w14:paraId="20891BCC" w14:textId="67B5725C"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46FC2D29" w14:textId="36F124F0"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535D65BF" w14:textId="5C22EC25"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411520C9" w14:textId="198FF49A" w:rsidR="00EE019E" w:rsidRPr="00EC7DA7" w:rsidRDefault="00EE019E" w:rsidP="00EE0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15.3.</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41B532B1" w14:textId="42A7649A" w:rsidR="00EE019E" w:rsidRPr="006C50BA" w:rsidRDefault="00EE019E" w:rsidP="00EE019E">
      <w:pPr>
        <w:tabs>
          <w:tab w:val="left" w:pos="0"/>
        </w:tabs>
        <w:suppressAutoHyphens/>
        <w:spacing w:after="0" w:line="240" w:lineRule="auto"/>
        <w:jc w:val="both"/>
        <w:rPr>
          <w:rFonts w:ascii="Times New Roman" w:hAnsi="Times New Roman" w:cs="Times New Roman"/>
          <w:sz w:val="24"/>
          <w:szCs w:val="24"/>
          <w:lang w:eastAsia="ar-SA"/>
        </w:rPr>
      </w:pPr>
      <w:r>
        <w:rPr>
          <w:rFonts w:ascii="Times New Roman" w:hAnsi="Times New Roman"/>
          <w:sz w:val="24"/>
          <w:szCs w:val="24"/>
        </w:rPr>
        <w:tab/>
      </w: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1D913FE5" w14:textId="5422FC9F"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EE019E">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4F8EE74A"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EE019E">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42FF7BC"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EE019E">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w:t>
            </w:r>
            <w:r w:rsidRPr="006C50BA">
              <w:rPr>
                <w:rFonts w:ascii="Times New Roman" w:hAnsi="Times New Roman" w:cs="Times New Roman"/>
                <w:sz w:val="24"/>
                <w:szCs w:val="24"/>
              </w:rPr>
              <w:lastRenderedPageBreak/>
              <w:t xml:space="preserve">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7"/>
          <w:pgSz w:w="11906" w:h="16838"/>
          <w:pgMar w:top="709" w:right="850" w:bottom="1134" w:left="1701" w:header="708" w:footer="708" w:gutter="0"/>
          <w:cols w:space="708"/>
          <w:titlePg/>
          <w:docGrid w:linePitch="360"/>
        </w:sectPr>
      </w:pPr>
    </w:p>
    <w:p w14:paraId="421E2CA8" w14:textId="1C1090D5"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3652"/>
        <w:gridCol w:w="1954"/>
        <w:gridCol w:w="1709"/>
        <w:gridCol w:w="1252"/>
        <w:gridCol w:w="1681"/>
        <w:gridCol w:w="931"/>
        <w:gridCol w:w="1049"/>
        <w:gridCol w:w="1281"/>
        <w:gridCol w:w="1179"/>
      </w:tblGrid>
      <w:tr w:rsidR="005E4A4C" w:rsidRPr="00EE0121" w14:paraId="45A3678B" w14:textId="77777777" w:rsidTr="00912A0E">
        <w:trPr>
          <w:trHeight w:val="573"/>
          <w:jc w:val="center"/>
        </w:trPr>
        <w:tc>
          <w:tcPr>
            <w:tcW w:w="297" w:type="dxa"/>
            <w:vAlign w:val="center"/>
          </w:tcPr>
          <w:p w14:paraId="06C4A2B5" w14:textId="77777777"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w:t>
            </w:r>
          </w:p>
          <w:p w14:paraId="40A2B266" w14:textId="77777777"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п/п</w:t>
            </w:r>
          </w:p>
        </w:tc>
        <w:tc>
          <w:tcPr>
            <w:tcW w:w="3652" w:type="dxa"/>
            <w:vAlign w:val="center"/>
          </w:tcPr>
          <w:p w14:paraId="4E72A9A7" w14:textId="749F9D04"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Найменування  (або еквівалент)</w:t>
            </w:r>
          </w:p>
        </w:tc>
        <w:tc>
          <w:tcPr>
            <w:tcW w:w="1954" w:type="dxa"/>
            <w:vAlign w:val="center"/>
          </w:tcPr>
          <w:p w14:paraId="08980F34" w14:textId="2A578E5A"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Характеристика товару</w:t>
            </w:r>
          </w:p>
        </w:tc>
        <w:tc>
          <w:tcPr>
            <w:tcW w:w="1709" w:type="dxa"/>
            <w:vAlign w:val="center"/>
          </w:tcPr>
          <w:p w14:paraId="6F108553" w14:textId="23BF9A88"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Торгова назва згідно з документами виробника</w:t>
            </w:r>
          </w:p>
        </w:tc>
        <w:tc>
          <w:tcPr>
            <w:tcW w:w="1252" w:type="dxa"/>
            <w:vAlign w:val="center"/>
          </w:tcPr>
          <w:p w14:paraId="58B4ADBD" w14:textId="73724237"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Виробник, країна походження</w:t>
            </w:r>
          </w:p>
        </w:tc>
        <w:tc>
          <w:tcPr>
            <w:tcW w:w="1681" w:type="dxa"/>
            <w:vAlign w:val="center"/>
          </w:tcPr>
          <w:p w14:paraId="267A13D0" w14:textId="0B493726" w:rsidR="005E4A4C" w:rsidRPr="00EE0121" w:rsidRDefault="005E4A4C" w:rsidP="005E4A4C">
            <w:pPr>
              <w:spacing w:after="0" w:line="240" w:lineRule="auto"/>
              <w:jc w:val="center"/>
              <w:rPr>
                <w:rFonts w:ascii="Times New Roman" w:hAnsi="Times New Roman" w:cs="Times New Roman"/>
                <w:b/>
                <w:sz w:val="20"/>
                <w:szCs w:val="20"/>
              </w:rPr>
            </w:pPr>
            <w:proofErr w:type="spellStart"/>
            <w:r w:rsidRPr="00EE0121">
              <w:rPr>
                <w:rFonts w:ascii="Times New Roman" w:hAnsi="Times New Roman" w:cs="Times New Roman"/>
                <w:b/>
                <w:sz w:val="20"/>
                <w:szCs w:val="20"/>
              </w:rPr>
              <w:t>Од.вим</w:t>
            </w:r>
            <w:proofErr w:type="spellEnd"/>
            <w:r w:rsidRPr="00EE0121">
              <w:rPr>
                <w:rFonts w:ascii="Times New Roman" w:hAnsi="Times New Roman" w:cs="Times New Roman"/>
                <w:b/>
                <w:sz w:val="20"/>
                <w:szCs w:val="20"/>
              </w:rPr>
              <w:t>.</w:t>
            </w:r>
          </w:p>
        </w:tc>
        <w:tc>
          <w:tcPr>
            <w:tcW w:w="931" w:type="dxa"/>
            <w:vAlign w:val="center"/>
          </w:tcPr>
          <w:p w14:paraId="1329D24A" w14:textId="12D57411"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Кількість пар</w:t>
            </w:r>
          </w:p>
        </w:tc>
        <w:tc>
          <w:tcPr>
            <w:tcW w:w="1049" w:type="dxa"/>
            <w:vAlign w:val="center"/>
          </w:tcPr>
          <w:p w14:paraId="3456D879" w14:textId="1DC7808B"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Кількість упаковок</w:t>
            </w:r>
          </w:p>
        </w:tc>
        <w:tc>
          <w:tcPr>
            <w:tcW w:w="1281" w:type="dxa"/>
            <w:vAlign w:val="center"/>
          </w:tcPr>
          <w:p w14:paraId="02BB5F7F" w14:textId="4C2D7508"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 xml:space="preserve">Ціна за </w:t>
            </w:r>
            <w:r w:rsidR="0028345C" w:rsidRPr="00EE0121">
              <w:rPr>
                <w:rFonts w:ascii="Times New Roman" w:hAnsi="Times New Roman" w:cs="Times New Roman"/>
                <w:b/>
                <w:sz w:val="20"/>
                <w:szCs w:val="20"/>
              </w:rPr>
              <w:t>уп</w:t>
            </w:r>
            <w:r w:rsidRPr="00EE0121">
              <w:rPr>
                <w:rFonts w:ascii="Times New Roman" w:hAnsi="Times New Roman" w:cs="Times New Roman"/>
                <w:b/>
                <w:sz w:val="20"/>
                <w:szCs w:val="20"/>
              </w:rPr>
              <w:t>., грн.</w:t>
            </w:r>
          </w:p>
          <w:p w14:paraId="694B2DD4" w14:textId="77777777"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(без ПДВ)</w:t>
            </w:r>
          </w:p>
        </w:tc>
        <w:tc>
          <w:tcPr>
            <w:tcW w:w="1179" w:type="dxa"/>
            <w:vAlign w:val="center"/>
          </w:tcPr>
          <w:p w14:paraId="0429FBAF" w14:textId="77777777"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Сума, грн.</w:t>
            </w:r>
          </w:p>
          <w:p w14:paraId="59A90EA3" w14:textId="77777777" w:rsidR="005E4A4C" w:rsidRPr="00EE0121" w:rsidRDefault="005E4A4C" w:rsidP="005E4A4C">
            <w:pPr>
              <w:spacing w:after="0" w:line="240" w:lineRule="auto"/>
              <w:jc w:val="center"/>
              <w:rPr>
                <w:rFonts w:ascii="Times New Roman" w:hAnsi="Times New Roman" w:cs="Times New Roman"/>
                <w:b/>
                <w:sz w:val="20"/>
                <w:szCs w:val="20"/>
              </w:rPr>
            </w:pPr>
            <w:r w:rsidRPr="00EE0121">
              <w:rPr>
                <w:rFonts w:ascii="Times New Roman" w:hAnsi="Times New Roman" w:cs="Times New Roman"/>
                <w:b/>
                <w:sz w:val="20"/>
                <w:szCs w:val="20"/>
              </w:rPr>
              <w:t xml:space="preserve"> (без  ПДВ)</w:t>
            </w:r>
          </w:p>
        </w:tc>
      </w:tr>
      <w:tr w:rsidR="00A52F19" w:rsidRPr="00EE0121" w14:paraId="38179831" w14:textId="77777777" w:rsidTr="00912A0E">
        <w:trPr>
          <w:trHeight w:val="573"/>
          <w:jc w:val="center"/>
        </w:trPr>
        <w:tc>
          <w:tcPr>
            <w:tcW w:w="297" w:type="dxa"/>
            <w:vAlign w:val="center"/>
          </w:tcPr>
          <w:p w14:paraId="14F2446F" w14:textId="49A5C7C9" w:rsidR="00A52F19" w:rsidRPr="00EE0121" w:rsidRDefault="00A52F19" w:rsidP="00A52F19">
            <w:pPr>
              <w:spacing w:after="0" w:line="240" w:lineRule="auto"/>
              <w:jc w:val="center"/>
              <w:rPr>
                <w:rFonts w:ascii="Times New Roman" w:hAnsi="Times New Roman" w:cs="Times New Roman"/>
                <w:b/>
                <w:sz w:val="20"/>
                <w:szCs w:val="20"/>
              </w:rPr>
            </w:pPr>
            <w:r w:rsidRPr="00EE0121">
              <w:rPr>
                <w:rFonts w:ascii="Times New Roman" w:hAnsi="Times New Roman" w:cs="Times New Roman"/>
                <w:sz w:val="20"/>
                <w:szCs w:val="20"/>
              </w:rPr>
              <w:t>1</w:t>
            </w:r>
          </w:p>
        </w:tc>
        <w:tc>
          <w:tcPr>
            <w:tcW w:w="3652" w:type="dxa"/>
            <w:vAlign w:val="center"/>
          </w:tcPr>
          <w:p w14:paraId="2D380468" w14:textId="759499E2" w:rsidR="00A52F19" w:rsidRPr="00EE0121" w:rsidRDefault="00A52F19" w:rsidP="00A52F19">
            <w:pPr>
              <w:spacing w:after="0" w:line="240" w:lineRule="auto"/>
              <w:ind w:left="57" w:right="57"/>
              <w:jc w:val="both"/>
              <w:rPr>
                <w:rFonts w:ascii="Times New Roman" w:hAnsi="Times New Roman" w:cs="Times New Roman"/>
                <w:b/>
                <w:sz w:val="20"/>
                <w:szCs w:val="20"/>
              </w:rPr>
            </w:pPr>
            <w:r w:rsidRPr="00EE0121">
              <w:rPr>
                <w:rFonts w:ascii="Times New Roman" w:hAnsi="Times New Roman" w:cs="Times New Roman"/>
                <w:color w:val="000000"/>
              </w:rPr>
              <w:t xml:space="preserve">Рукавички медичні (Хірургічні рукавички, код 33141420-0 за ДК 021:2015 "Єдиний закупівельний словник", код 61217  за НК 024:2023 - Рукавички хірургічні з </w:t>
            </w:r>
            <w:proofErr w:type="spellStart"/>
            <w:r w:rsidRPr="00EE0121">
              <w:rPr>
                <w:rFonts w:ascii="Times New Roman" w:hAnsi="Times New Roman" w:cs="Times New Roman"/>
                <w:color w:val="000000"/>
              </w:rPr>
              <w:t>гваюлового</w:t>
            </w:r>
            <w:proofErr w:type="spellEnd"/>
            <w:r w:rsidRPr="00EE0121">
              <w:rPr>
                <w:rFonts w:ascii="Times New Roman" w:hAnsi="Times New Roman" w:cs="Times New Roman"/>
                <w:color w:val="000000"/>
              </w:rPr>
              <w:t xml:space="preserve"> латексу з неприпудреною внутрішньою поверхнею)</w:t>
            </w:r>
          </w:p>
        </w:tc>
        <w:tc>
          <w:tcPr>
            <w:tcW w:w="1954" w:type="dxa"/>
            <w:vAlign w:val="center"/>
          </w:tcPr>
          <w:p w14:paraId="2F6CB82F" w14:textId="19A977A5" w:rsidR="00A52F19" w:rsidRPr="00EE0121" w:rsidRDefault="00A52F19" w:rsidP="00A52F19">
            <w:pPr>
              <w:spacing w:after="0" w:line="240" w:lineRule="auto"/>
              <w:jc w:val="center"/>
              <w:rPr>
                <w:rFonts w:ascii="Times New Roman" w:hAnsi="Times New Roman" w:cs="Times New Roman"/>
                <w:b/>
                <w:sz w:val="20"/>
                <w:szCs w:val="20"/>
              </w:rPr>
            </w:pPr>
            <w:r w:rsidRPr="00EE0121">
              <w:rPr>
                <w:rFonts w:ascii="Times New Roman" w:hAnsi="Times New Roman" w:cs="Times New Roman"/>
                <w:color w:val="000000"/>
              </w:rPr>
              <w:t>Рукавички хірургічні латексні стерильні, без пудри розмір 7,0</w:t>
            </w:r>
          </w:p>
        </w:tc>
        <w:tc>
          <w:tcPr>
            <w:tcW w:w="1709" w:type="dxa"/>
            <w:vAlign w:val="center"/>
          </w:tcPr>
          <w:p w14:paraId="590DD874" w14:textId="4C8BEF6B" w:rsidR="00A52F19" w:rsidRPr="00EE0121" w:rsidRDefault="00A52F19" w:rsidP="00A52F19">
            <w:pPr>
              <w:spacing w:after="0" w:line="240" w:lineRule="auto"/>
              <w:jc w:val="center"/>
              <w:rPr>
                <w:rFonts w:ascii="Times New Roman" w:hAnsi="Times New Roman" w:cs="Times New Roman"/>
                <w:b/>
                <w:sz w:val="20"/>
                <w:szCs w:val="20"/>
              </w:rPr>
            </w:pPr>
          </w:p>
        </w:tc>
        <w:tc>
          <w:tcPr>
            <w:tcW w:w="1252" w:type="dxa"/>
            <w:vAlign w:val="center"/>
          </w:tcPr>
          <w:p w14:paraId="0335CFB5" w14:textId="77777777" w:rsidR="00A52F19" w:rsidRPr="00EE0121" w:rsidRDefault="00A52F19" w:rsidP="00A52F19">
            <w:pPr>
              <w:spacing w:after="0" w:line="240" w:lineRule="auto"/>
              <w:jc w:val="center"/>
              <w:rPr>
                <w:rFonts w:ascii="Times New Roman" w:hAnsi="Times New Roman" w:cs="Times New Roman"/>
                <w:b/>
                <w:sz w:val="20"/>
                <w:szCs w:val="20"/>
              </w:rPr>
            </w:pPr>
          </w:p>
        </w:tc>
        <w:tc>
          <w:tcPr>
            <w:tcW w:w="1681" w:type="dxa"/>
            <w:vAlign w:val="center"/>
          </w:tcPr>
          <w:p w14:paraId="426E0601" w14:textId="19F896E0" w:rsidR="00A52F19" w:rsidRPr="00EE0121" w:rsidRDefault="00A52F19" w:rsidP="00A52F19">
            <w:pPr>
              <w:spacing w:after="0" w:line="240" w:lineRule="auto"/>
              <w:jc w:val="center"/>
              <w:rPr>
                <w:rFonts w:ascii="Times New Roman" w:hAnsi="Times New Roman" w:cs="Times New Roman"/>
                <w:b/>
                <w:bCs/>
                <w:sz w:val="20"/>
                <w:szCs w:val="20"/>
              </w:rPr>
            </w:pPr>
            <w:r w:rsidRPr="00EE0121">
              <w:rPr>
                <w:rFonts w:ascii="Times New Roman" w:hAnsi="Times New Roman" w:cs="Times New Roman"/>
                <w:color w:val="000000"/>
              </w:rPr>
              <w:t>пара</w:t>
            </w:r>
          </w:p>
        </w:tc>
        <w:tc>
          <w:tcPr>
            <w:tcW w:w="931" w:type="dxa"/>
            <w:vAlign w:val="center"/>
          </w:tcPr>
          <w:p w14:paraId="16330CBB" w14:textId="2D08C1FE" w:rsidR="00A52F19" w:rsidRPr="00EE0121" w:rsidRDefault="00A52F19" w:rsidP="00A52F19">
            <w:pPr>
              <w:spacing w:after="0" w:line="240" w:lineRule="auto"/>
              <w:jc w:val="center"/>
              <w:rPr>
                <w:rFonts w:ascii="Times New Roman" w:hAnsi="Times New Roman" w:cs="Times New Roman"/>
                <w:color w:val="000000"/>
                <w:sz w:val="20"/>
                <w:szCs w:val="20"/>
              </w:rPr>
            </w:pPr>
            <w:r w:rsidRPr="00EE0121">
              <w:rPr>
                <w:rFonts w:ascii="Times New Roman" w:hAnsi="Times New Roman" w:cs="Times New Roman"/>
              </w:rPr>
              <w:t>60000</w:t>
            </w:r>
          </w:p>
        </w:tc>
        <w:tc>
          <w:tcPr>
            <w:tcW w:w="1049" w:type="dxa"/>
            <w:vAlign w:val="center"/>
          </w:tcPr>
          <w:p w14:paraId="11E93780" w14:textId="359D57E7" w:rsidR="00A52F19" w:rsidRPr="00EE0121" w:rsidRDefault="00A52F19" w:rsidP="00A52F19">
            <w:pPr>
              <w:spacing w:after="0" w:line="240" w:lineRule="auto"/>
              <w:jc w:val="center"/>
              <w:rPr>
                <w:rFonts w:ascii="Times New Roman" w:hAnsi="Times New Roman" w:cs="Times New Roman"/>
                <w:b/>
                <w:sz w:val="20"/>
                <w:szCs w:val="20"/>
              </w:rPr>
            </w:pPr>
          </w:p>
        </w:tc>
        <w:tc>
          <w:tcPr>
            <w:tcW w:w="1281" w:type="dxa"/>
            <w:vAlign w:val="center"/>
          </w:tcPr>
          <w:p w14:paraId="3B02D988" w14:textId="77777777" w:rsidR="00A52F19" w:rsidRPr="00EE0121" w:rsidRDefault="00A52F19" w:rsidP="00A52F19">
            <w:pPr>
              <w:spacing w:after="0" w:line="240" w:lineRule="auto"/>
              <w:jc w:val="center"/>
              <w:rPr>
                <w:rFonts w:ascii="Times New Roman" w:hAnsi="Times New Roman" w:cs="Times New Roman"/>
                <w:b/>
                <w:sz w:val="20"/>
                <w:szCs w:val="20"/>
              </w:rPr>
            </w:pPr>
          </w:p>
        </w:tc>
        <w:tc>
          <w:tcPr>
            <w:tcW w:w="1179" w:type="dxa"/>
            <w:vAlign w:val="center"/>
          </w:tcPr>
          <w:p w14:paraId="775FFA70" w14:textId="77777777" w:rsidR="00A52F19" w:rsidRPr="00EE0121" w:rsidRDefault="00A52F19" w:rsidP="00A52F19">
            <w:pPr>
              <w:spacing w:after="0" w:line="240" w:lineRule="auto"/>
              <w:jc w:val="center"/>
              <w:rPr>
                <w:rFonts w:ascii="Times New Roman" w:hAnsi="Times New Roman" w:cs="Times New Roman"/>
                <w:b/>
                <w:sz w:val="20"/>
                <w:szCs w:val="20"/>
              </w:rPr>
            </w:pPr>
          </w:p>
        </w:tc>
      </w:tr>
      <w:tr w:rsidR="00A52F19" w:rsidRPr="00EE0121" w14:paraId="1BE697F7" w14:textId="77777777" w:rsidTr="00912A0E">
        <w:trPr>
          <w:trHeight w:val="20"/>
          <w:jc w:val="center"/>
        </w:trPr>
        <w:tc>
          <w:tcPr>
            <w:tcW w:w="297" w:type="dxa"/>
            <w:vAlign w:val="center"/>
          </w:tcPr>
          <w:p w14:paraId="28C821A7" w14:textId="5B9EDAF3" w:rsidR="00A52F19" w:rsidRPr="00EE0121" w:rsidRDefault="00A52F19" w:rsidP="00A52F19">
            <w:pPr>
              <w:spacing w:after="0" w:line="240" w:lineRule="auto"/>
              <w:jc w:val="center"/>
              <w:rPr>
                <w:rFonts w:ascii="Times New Roman" w:hAnsi="Times New Roman" w:cs="Times New Roman"/>
                <w:sz w:val="20"/>
                <w:szCs w:val="20"/>
              </w:rPr>
            </w:pPr>
            <w:r w:rsidRPr="00EE0121">
              <w:rPr>
                <w:rFonts w:ascii="Times New Roman" w:hAnsi="Times New Roman" w:cs="Times New Roman"/>
                <w:sz w:val="20"/>
                <w:szCs w:val="20"/>
              </w:rPr>
              <w:t>2</w:t>
            </w:r>
          </w:p>
        </w:tc>
        <w:tc>
          <w:tcPr>
            <w:tcW w:w="3652" w:type="dxa"/>
            <w:vAlign w:val="center"/>
          </w:tcPr>
          <w:p w14:paraId="7B56D942" w14:textId="10E40D06" w:rsidR="00A52F19" w:rsidRPr="00EE0121" w:rsidRDefault="00A52F19" w:rsidP="00A52F19">
            <w:pPr>
              <w:spacing w:after="0" w:line="240" w:lineRule="auto"/>
              <w:ind w:left="57" w:right="57"/>
              <w:jc w:val="both"/>
              <w:rPr>
                <w:rFonts w:ascii="Times New Roman" w:hAnsi="Times New Roman" w:cs="Times New Roman"/>
                <w:sz w:val="20"/>
                <w:szCs w:val="20"/>
              </w:rPr>
            </w:pPr>
            <w:r w:rsidRPr="00EE0121">
              <w:rPr>
                <w:rFonts w:ascii="Times New Roman" w:hAnsi="Times New Roman" w:cs="Times New Roman"/>
                <w:color w:val="000000"/>
              </w:rPr>
              <w:br/>
              <w:t xml:space="preserve">Рукавички хірургічні стерильні, латексні, без пудри, M, 1 пара (Хірургічні рукавички, код 33141420-0 за ДК 021:2015 "Єдиний закупівельний словник", код 61217  за НК 024:2023 - Рукавички хірургічні з </w:t>
            </w:r>
            <w:proofErr w:type="spellStart"/>
            <w:r w:rsidRPr="00EE0121">
              <w:rPr>
                <w:rFonts w:ascii="Times New Roman" w:hAnsi="Times New Roman" w:cs="Times New Roman"/>
                <w:color w:val="000000"/>
              </w:rPr>
              <w:t>гваюлового</w:t>
            </w:r>
            <w:proofErr w:type="spellEnd"/>
            <w:r w:rsidRPr="00EE0121">
              <w:rPr>
                <w:rFonts w:ascii="Times New Roman" w:hAnsi="Times New Roman" w:cs="Times New Roman"/>
                <w:color w:val="000000"/>
              </w:rPr>
              <w:t xml:space="preserve"> латексу з неприпудреною внутрішньою поверхнею)</w:t>
            </w:r>
          </w:p>
        </w:tc>
        <w:tc>
          <w:tcPr>
            <w:tcW w:w="1954" w:type="dxa"/>
            <w:vAlign w:val="center"/>
          </w:tcPr>
          <w:p w14:paraId="2C343D2A" w14:textId="45AABD44" w:rsidR="00A52F19" w:rsidRPr="00EE0121" w:rsidRDefault="00A52F19" w:rsidP="00A52F19">
            <w:pPr>
              <w:spacing w:after="0" w:line="240" w:lineRule="auto"/>
              <w:jc w:val="center"/>
              <w:rPr>
                <w:rFonts w:ascii="Times New Roman" w:hAnsi="Times New Roman" w:cs="Times New Roman"/>
                <w:sz w:val="20"/>
                <w:szCs w:val="20"/>
              </w:rPr>
            </w:pPr>
            <w:r w:rsidRPr="00EE0121">
              <w:rPr>
                <w:rFonts w:ascii="Times New Roman" w:hAnsi="Times New Roman" w:cs="Times New Roman"/>
                <w:color w:val="000000"/>
              </w:rPr>
              <w:t>Рукавички хірургічні латексні стерильні, без пудри розмір 7,5</w:t>
            </w:r>
          </w:p>
        </w:tc>
        <w:tc>
          <w:tcPr>
            <w:tcW w:w="1709" w:type="dxa"/>
            <w:vAlign w:val="center"/>
          </w:tcPr>
          <w:p w14:paraId="335FF9F1" w14:textId="78E2B485" w:rsidR="00A52F19" w:rsidRPr="00EE0121" w:rsidRDefault="00A52F19" w:rsidP="00A52F19">
            <w:pPr>
              <w:spacing w:after="0" w:line="240" w:lineRule="auto"/>
              <w:jc w:val="center"/>
              <w:rPr>
                <w:rFonts w:ascii="Times New Roman" w:hAnsi="Times New Roman" w:cs="Times New Roman"/>
                <w:sz w:val="20"/>
                <w:szCs w:val="20"/>
              </w:rPr>
            </w:pPr>
          </w:p>
        </w:tc>
        <w:tc>
          <w:tcPr>
            <w:tcW w:w="1252" w:type="dxa"/>
            <w:vAlign w:val="center"/>
          </w:tcPr>
          <w:p w14:paraId="39E71CAE" w14:textId="088B1142" w:rsidR="00A52F19" w:rsidRPr="00EE0121" w:rsidRDefault="00A52F19" w:rsidP="00A52F19">
            <w:pPr>
              <w:spacing w:after="0" w:line="240" w:lineRule="auto"/>
              <w:jc w:val="center"/>
              <w:rPr>
                <w:rFonts w:ascii="Times New Roman" w:hAnsi="Times New Roman" w:cs="Times New Roman"/>
                <w:sz w:val="20"/>
                <w:szCs w:val="20"/>
              </w:rPr>
            </w:pPr>
            <w:bookmarkStart w:id="1" w:name="_GoBack"/>
            <w:bookmarkEnd w:id="1"/>
          </w:p>
        </w:tc>
        <w:tc>
          <w:tcPr>
            <w:tcW w:w="1681" w:type="dxa"/>
            <w:vAlign w:val="center"/>
          </w:tcPr>
          <w:p w14:paraId="72441620" w14:textId="5836686B" w:rsidR="00A52F19" w:rsidRPr="00EE0121" w:rsidRDefault="00A52F19" w:rsidP="00A52F19">
            <w:pPr>
              <w:spacing w:after="0" w:line="240" w:lineRule="auto"/>
              <w:jc w:val="center"/>
              <w:rPr>
                <w:rFonts w:ascii="Times New Roman" w:hAnsi="Times New Roman" w:cs="Times New Roman"/>
                <w:sz w:val="20"/>
                <w:szCs w:val="20"/>
              </w:rPr>
            </w:pPr>
            <w:r w:rsidRPr="00EE0121">
              <w:rPr>
                <w:rFonts w:ascii="Times New Roman" w:hAnsi="Times New Roman" w:cs="Times New Roman"/>
                <w:color w:val="000000"/>
              </w:rPr>
              <w:t>пара</w:t>
            </w:r>
          </w:p>
        </w:tc>
        <w:tc>
          <w:tcPr>
            <w:tcW w:w="931" w:type="dxa"/>
            <w:vAlign w:val="center"/>
          </w:tcPr>
          <w:p w14:paraId="1A86FE31" w14:textId="46B9F6DF" w:rsidR="00A52F19" w:rsidRPr="00EE0121" w:rsidRDefault="00A52F19" w:rsidP="00A52F19">
            <w:pPr>
              <w:spacing w:after="0" w:line="240" w:lineRule="auto"/>
              <w:jc w:val="center"/>
              <w:rPr>
                <w:rFonts w:ascii="Times New Roman" w:hAnsi="Times New Roman" w:cs="Times New Roman"/>
                <w:color w:val="000000"/>
                <w:sz w:val="20"/>
                <w:szCs w:val="20"/>
              </w:rPr>
            </w:pPr>
            <w:r w:rsidRPr="00EE0121">
              <w:rPr>
                <w:rFonts w:ascii="Times New Roman" w:hAnsi="Times New Roman" w:cs="Times New Roman"/>
                <w:color w:val="000000"/>
              </w:rPr>
              <w:t>75000</w:t>
            </w:r>
          </w:p>
        </w:tc>
        <w:tc>
          <w:tcPr>
            <w:tcW w:w="1049" w:type="dxa"/>
            <w:vAlign w:val="center"/>
          </w:tcPr>
          <w:p w14:paraId="3911BE70" w14:textId="36315AB9" w:rsidR="00A52F19" w:rsidRPr="00EE0121" w:rsidRDefault="00A52F19" w:rsidP="00A52F19">
            <w:pPr>
              <w:spacing w:after="0" w:line="240" w:lineRule="auto"/>
              <w:jc w:val="center"/>
              <w:rPr>
                <w:rFonts w:ascii="Times New Roman" w:hAnsi="Times New Roman" w:cs="Times New Roman"/>
                <w:sz w:val="20"/>
                <w:szCs w:val="20"/>
              </w:rPr>
            </w:pPr>
          </w:p>
        </w:tc>
        <w:tc>
          <w:tcPr>
            <w:tcW w:w="1281" w:type="dxa"/>
            <w:vAlign w:val="center"/>
          </w:tcPr>
          <w:p w14:paraId="78C3AF6B" w14:textId="77777777" w:rsidR="00A52F19" w:rsidRPr="00EE0121" w:rsidRDefault="00A52F19" w:rsidP="00A52F19">
            <w:pPr>
              <w:spacing w:after="0" w:line="240" w:lineRule="auto"/>
              <w:jc w:val="center"/>
              <w:rPr>
                <w:rFonts w:ascii="Times New Roman" w:hAnsi="Times New Roman" w:cs="Times New Roman"/>
                <w:sz w:val="20"/>
                <w:szCs w:val="20"/>
              </w:rPr>
            </w:pPr>
          </w:p>
        </w:tc>
        <w:tc>
          <w:tcPr>
            <w:tcW w:w="1179" w:type="dxa"/>
            <w:vAlign w:val="center"/>
          </w:tcPr>
          <w:p w14:paraId="062D88D2" w14:textId="77777777" w:rsidR="00A52F19" w:rsidRPr="00EE0121" w:rsidRDefault="00A52F19" w:rsidP="00A52F19">
            <w:pPr>
              <w:spacing w:after="0" w:line="240" w:lineRule="auto"/>
              <w:jc w:val="center"/>
              <w:rPr>
                <w:rFonts w:ascii="Times New Roman" w:hAnsi="Times New Roman" w:cs="Times New Roman"/>
                <w:sz w:val="20"/>
                <w:szCs w:val="20"/>
              </w:rPr>
            </w:pPr>
          </w:p>
        </w:tc>
      </w:tr>
      <w:tr w:rsidR="005E4A4C" w:rsidRPr="00EE0121" w14:paraId="385CC9DC" w14:textId="77777777" w:rsidTr="00397BFE">
        <w:trPr>
          <w:trHeight w:val="20"/>
          <w:jc w:val="center"/>
        </w:trPr>
        <w:tc>
          <w:tcPr>
            <w:tcW w:w="13806" w:type="dxa"/>
            <w:gridSpan w:val="9"/>
          </w:tcPr>
          <w:p w14:paraId="786090A1" w14:textId="47D26834" w:rsidR="005E4A4C" w:rsidRPr="00EE0121" w:rsidRDefault="005E4A4C" w:rsidP="005B2FE7">
            <w:pPr>
              <w:spacing w:after="0" w:line="240" w:lineRule="auto"/>
              <w:jc w:val="right"/>
              <w:rPr>
                <w:rFonts w:ascii="Times New Roman" w:hAnsi="Times New Roman" w:cs="Times New Roman"/>
                <w:b/>
                <w:sz w:val="20"/>
                <w:szCs w:val="20"/>
              </w:rPr>
            </w:pPr>
            <w:r w:rsidRPr="00EE0121">
              <w:rPr>
                <w:rFonts w:ascii="Times New Roman" w:hAnsi="Times New Roman" w:cs="Times New Roman"/>
                <w:b/>
                <w:sz w:val="20"/>
                <w:szCs w:val="20"/>
              </w:rPr>
              <w:t>Всього на загальну суму без ПДВ:</w:t>
            </w:r>
          </w:p>
        </w:tc>
        <w:tc>
          <w:tcPr>
            <w:tcW w:w="1179" w:type="dxa"/>
            <w:vAlign w:val="center"/>
          </w:tcPr>
          <w:p w14:paraId="2B996FA5" w14:textId="77777777" w:rsidR="005E4A4C" w:rsidRPr="00EE0121" w:rsidRDefault="005E4A4C" w:rsidP="005B2FE7">
            <w:pPr>
              <w:spacing w:after="0" w:line="240" w:lineRule="auto"/>
              <w:jc w:val="center"/>
              <w:rPr>
                <w:rFonts w:ascii="Times New Roman" w:hAnsi="Times New Roman" w:cs="Times New Roman"/>
                <w:sz w:val="20"/>
                <w:szCs w:val="20"/>
              </w:rPr>
            </w:pPr>
          </w:p>
        </w:tc>
      </w:tr>
      <w:tr w:rsidR="005E4A4C" w:rsidRPr="00EE0121" w14:paraId="22110F3E" w14:textId="77777777" w:rsidTr="00F81441">
        <w:trPr>
          <w:trHeight w:val="20"/>
          <w:jc w:val="center"/>
        </w:trPr>
        <w:tc>
          <w:tcPr>
            <w:tcW w:w="13806" w:type="dxa"/>
            <w:gridSpan w:val="9"/>
          </w:tcPr>
          <w:p w14:paraId="5AB8CA3F" w14:textId="571B5B29" w:rsidR="005E4A4C" w:rsidRPr="00EE0121" w:rsidRDefault="005E4A4C" w:rsidP="005B2FE7">
            <w:pPr>
              <w:spacing w:after="0" w:line="240" w:lineRule="auto"/>
              <w:jc w:val="right"/>
              <w:rPr>
                <w:rFonts w:ascii="Times New Roman" w:hAnsi="Times New Roman" w:cs="Times New Roman"/>
                <w:b/>
                <w:sz w:val="20"/>
                <w:szCs w:val="20"/>
              </w:rPr>
            </w:pPr>
            <w:r w:rsidRPr="00EE0121">
              <w:rPr>
                <w:rFonts w:ascii="Times New Roman" w:hAnsi="Times New Roman" w:cs="Times New Roman"/>
                <w:b/>
                <w:sz w:val="20"/>
                <w:szCs w:val="20"/>
              </w:rPr>
              <w:t>ПДВ 7%:</w:t>
            </w:r>
          </w:p>
        </w:tc>
        <w:tc>
          <w:tcPr>
            <w:tcW w:w="1179" w:type="dxa"/>
            <w:vAlign w:val="center"/>
          </w:tcPr>
          <w:p w14:paraId="7E33BE1B" w14:textId="77777777" w:rsidR="005E4A4C" w:rsidRPr="00EE0121" w:rsidRDefault="005E4A4C" w:rsidP="005B2FE7">
            <w:pPr>
              <w:spacing w:after="0" w:line="240" w:lineRule="auto"/>
              <w:jc w:val="center"/>
              <w:rPr>
                <w:rFonts w:ascii="Times New Roman" w:hAnsi="Times New Roman" w:cs="Times New Roman"/>
                <w:sz w:val="20"/>
                <w:szCs w:val="20"/>
              </w:rPr>
            </w:pPr>
          </w:p>
        </w:tc>
      </w:tr>
      <w:tr w:rsidR="005E4A4C" w:rsidRPr="00EE0121" w14:paraId="359329F0" w14:textId="77777777" w:rsidTr="00C97B47">
        <w:trPr>
          <w:trHeight w:val="20"/>
          <w:jc w:val="center"/>
        </w:trPr>
        <w:tc>
          <w:tcPr>
            <w:tcW w:w="13806" w:type="dxa"/>
            <w:gridSpan w:val="9"/>
          </w:tcPr>
          <w:p w14:paraId="038273B3" w14:textId="42608972" w:rsidR="005E4A4C" w:rsidRPr="00EE0121" w:rsidRDefault="005E4A4C" w:rsidP="005B2FE7">
            <w:pPr>
              <w:spacing w:after="0" w:line="240" w:lineRule="auto"/>
              <w:jc w:val="right"/>
              <w:rPr>
                <w:rFonts w:ascii="Times New Roman" w:hAnsi="Times New Roman" w:cs="Times New Roman"/>
                <w:b/>
                <w:sz w:val="20"/>
                <w:szCs w:val="20"/>
              </w:rPr>
            </w:pPr>
            <w:r w:rsidRPr="00EE0121">
              <w:rPr>
                <w:rFonts w:ascii="Times New Roman" w:hAnsi="Times New Roman" w:cs="Times New Roman"/>
                <w:b/>
                <w:sz w:val="20"/>
                <w:szCs w:val="20"/>
              </w:rPr>
              <w:t>Всього на загальну суму з ПДВ:</w:t>
            </w:r>
          </w:p>
        </w:tc>
        <w:tc>
          <w:tcPr>
            <w:tcW w:w="1179" w:type="dxa"/>
            <w:vAlign w:val="center"/>
          </w:tcPr>
          <w:p w14:paraId="3E9D5A04" w14:textId="77777777" w:rsidR="005E4A4C" w:rsidRPr="00EE0121" w:rsidRDefault="005E4A4C" w:rsidP="005B2FE7">
            <w:pPr>
              <w:spacing w:after="0" w:line="240" w:lineRule="auto"/>
              <w:jc w:val="center"/>
              <w:rPr>
                <w:rFonts w:ascii="Times New Roman" w:hAnsi="Times New Roman" w:cs="Times New Roman"/>
                <w:sz w:val="20"/>
                <w:szCs w:val="20"/>
              </w:rPr>
            </w:pPr>
          </w:p>
        </w:tc>
      </w:tr>
    </w:tbl>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15B4" w14:textId="77777777" w:rsidR="004A3FB6" w:rsidRDefault="004A3FB6" w:rsidP="00503DD1">
      <w:pPr>
        <w:spacing w:after="0" w:line="240" w:lineRule="auto"/>
      </w:pPr>
      <w:r>
        <w:separator/>
      </w:r>
    </w:p>
  </w:endnote>
  <w:endnote w:type="continuationSeparator" w:id="0">
    <w:p w14:paraId="31D250BA" w14:textId="77777777" w:rsidR="004A3FB6" w:rsidRDefault="004A3FB6"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7D15" w14:textId="77777777" w:rsidR="004A3FB6" w:rsidRDefault="004A3FB6" w:rsidP="00503DD1">
      <w:pPr>
        <w:spacing w:after="0" w:line="240" w:lineRule="auto"/>
      </w:pPr>
      <w:r>
        <w:separator/>
      </w:r>
    </w:p>
  </w:footnote>
  <w:footnote w:type="continuationSeparator" w:id="0">
    <w:p w14:paraId="29685B46" w14:textId="77777777" w:rsidR="004A3FB6" w:rsidRDefault="004A3FB6"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D7B89"/>
    <w:rsid w:val="000F5F2B"/>
    <w:rsid w:val="00100AC3"/>
    <w:rsid w:val="001021D7"/>
    <w:rsid w:val="00111990"/>
    <w:rsid w:val="00117F59"/>
    <w:rsid w:val="00120138"/>
    <w:rsid w:val="00122F1E"/>
    <w:rsid w:val="001744E7"/>
    <w:rsid w:val="001B6F0C"/>
    <w:rsid w:val="001F30F1"/>
    <w:rsid w:val="00202BEF"/>
    <w:rsid w:val="002058FC"/>
    <w:rsid w:val="0025538A"/>
    <w:rsid w:val="0028345C"/>
    <w:rsid w:val="002A5E12"/>
    <w:rsid w:val="002B725F"/>
    <w:rsid w:val="002C2E52"/>
    <w:rsid w:val="002D6019"/>
    <w:rsid w:val="002E3CD6"/>
    <w:rsid w:val="00340933"/>
    <w:rsid w:val="00394C5D"/>
    <w:rsid w:val="00446509"/>
    <w:rsid w:val="004A2DCE"/>
    <w:rsid w:val="004A2EFD"/>
    <w:rsid w:val="004A3FB6"/>
    <w:rsid w:val="004D14F0"/>
    <w:rsid w:val="004D5015"/>
    <w:rsid w:val="004D57B0"/>
    <w:rsid w:val="00503DD1"/>
    <w:rsid w:val="005537B0"/>
    <w:rsid w:val="0058192F"/>
    <w:rsid w:val="005B2FE7"/>
    <w:rsid w:val="005B4DB7"/>
    <w:rsid w:val="005C1A0C"/>
    <w:rsid w:val="005E25D6"/>
    <w:rsid w:val="005E4A4C"/>
    <w:rsid w:val="006B07DA"/>
    <w:rsid w:val="006C50BA"/>
    <w:rsid w:val="006C70D7"/>
    <w:rsid w:val="006F1C34"/>
    <w:rsid w:val="00797181"/>
    <w:rsid w:val="007A5A6E"/>
    <w:rsid w:val="00821FD3"/>
    <w:rsid w:val="00834EDC"/>
    <w:rsid w:val="008B39EB"/>
    <w:rsid w:val="008F117A"/>
    <w:rsid w:val="008F69A4"/>
    <w:rsid w:val="009026A4"/>
    <w:rsid w:val="00934098"/>
    <w:rsid w:val="00956B01"/>
    <w:rsid w:val="00995B03"/>
    <w:rsid w:val="009A6F23"/>
    <w:rsid w:val="00A03D41"/>
    <w:rsid w:val="00A265A3"/>
    <w:rsid w:val="00A27DBD"/>
    <w:rsid w:val="00A35A3D"/>
    <w:rsid w:val="00A52F19"/>
    <w:rsid w:val="00A630CC"/>
    <w:rsid w:val="00AE4EC2"/>
    <w:rsid w:val="00B10CF9"/>
    <w:rsid w:val="00B47C91"/>
    <w:rsid w:val="00B538CC"/>
    <w:rsid w:val="00BF5097"/>
    <w:rsid w:val="00C77339"/>
    <w:rsid w:val="00C865BE"/>
    <w:rsid w:val="00C93D3C"/>
    <w:rsid w:val="00CA3EB5"/>
    <w:rsid w:val="00CC3953"/>
    <w:rsid w:val="00CC409E"/>
    <w:rsid w:val="00D0318C"/>
    <w:rsid w:val="00D13C77"/>
    <w:rsid w:val="00D307AD"/>
    <w:rsid w:val="00D35CC8"/>
    <w:rsid w:val="00D47EF2"/>
    <w:rsid w:val="00DC1F97"/>
    <w:rsid w:val="00DD7FDD"/>
    <w:rsid w:val="00DE6824"/>
    <w:rsid w:val="00E05D0B"/>
    <w:rsid w:val="00E57253"/>
    <w:rsid w:val="00E955A7"/>
    <w:rsid w:val="00EB4E20"/>
    <w:rsid w:val="00EE0121"/>
    <w:rsid w:val="00EE019E"/>
    <w:rsid w:val="00F00C1E"/>
    <w:rsid w:val="00F0746C"/>
    <w:rsid w:val="00F264E0"/>
    <w:rsid w:val="00F272D6"/>
    <w:rsid w:val="00F84BE1"/>
    <w:rsid w:val="00F879A5"/>
    <w:rsid w:val="00FA2910"/>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9</Pages>
  <Words>17559</Words>
  <Characters>10009</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49</cp:revision>
  <dcterms:created xsi:type="dcterms:W3CDTF">2023-07-24T16:50:00Z</dcterms:created>
  <dcterms:modified xsi:type="dcterms:W3CDTF">2024-04-30T18:29:00Z</dcterms:modified>
</cp:coreProperties>
</file>