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0B" w:rsidRPr="00252ED4" w:rsidRDefault="00A96B26" w:rsidP="0022430B">
      <w:pPr>
        <w:jc w:val="center"/>
        <w:textAlignment w:val="top"/>
        <w:rPr>
          <w:rFonts w:eastAsia="Times New Roman"/>
          <w:b/>
        </w:rPr>
      </w:pPr>
      <w:r w:rsidRPr="00252ED4">
        <w:rPr>
          <w:rFonts w:eastAsia="Times New Roman"/>
          <w:b/>
        </w:rPr>
        <w:t>Оголошення про проведення відкритих торгів</w:t>
      </w:r>
      <w:r w:rsidR="00510B6D">
        <w:rPr>
          <w:rFonts w:eastAsia="Times New Roman"/>
          <w:b/>
        </w:rPr>
        <w:t>*</w:t>
      </w:r>
      <w:r w:rsidRPr="00252ED4">
        <w:rPr>
          <w:rFonts w:eastAsia="Times New Roman"/>
          <w:b/>
        </w:rPr>
        <w:t xml:space="preserve"> </w:t>
      </w:r>
    </w:p>
    <w:p w:rsidR="00BE6648" w:rsidRPr="00252ED4" w:rsidRDefault="00BE6648" w:rsidP="0022430B">
      <w:pPr>
        <w:jc w:val="center"/>
        <w:textAlignment w:val="top"/>
        <w:rPr>
          <w:rFonts w:eastAsia="Times New Roman"/>
          <w:b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5953"/>
      </w:tblGrid>
      <w:tr w:rsidR="00C528E4" w:rsidRPr="00252ED4" w:rsidTr="00866D21">
        <w:tc>
          <w:tcPr>
            <w:tcW w:w="3856" w:type="dxa"/>
            <w:vAlign w:val="center"/>
            <w:hideMark/>
          </w:tcPr>
          <w:p w:rsidR="00C528E4" w:rsidRPr="00252ED4" w:rsidRDefault="00C528E4" w:rsidP="000F1459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5953" w:type="dxa"/>
            <w:vAlign w:val="center"/>
          </w:tcPr>
          <w:p w:rsidR="00C528E4" w:rsidRPr="00252ED4" w:rsidRDefault="00B876B1" w:rsidP="0032615C">
            <w:pPr>
              <w:jc w:val="both"/>
            </w:pPr>
            <w:r w:rsidRPr="00512518">
              <w:rPr>
                <w:b/>
              </w:rPr>
              <w:t>Державний навчальний заклад "Вище професійне училище № 11 м.</w:t>
            </w:r>
            <w:r>
              <w:rPr>
                <w:b/>
              </w:rPr>
              <w:t xml:space="preserve"> </w:t>
            </w:r>
            <w:r w:rsidRPr="00512518">
              <w:rPr>
                <w:b/>
              </w:rPr>
              <w:t>Хмельницького"</w:t>
            </w:r>
          </w:p>
        </w:tc>
      </w:tr>
      <w:tr w:rsidR="00A96B26" w:rsidRPr="00252ED4" w:rsidTr="00866D21">
        <w:tc>
          <w:tcPr>
            <w:tcW w:w="3856" w:type="dxa"/>
            <w:vAlign w:val="center"/>
            <w:hideMark/>
          </w:tcPr>
          <w:p w:rsidR="00A96B26" w:rsidRPr="00252ED4" w:rsidRDefault="00A96B26" w:rsidP="00AA3DAF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</w:t>
            </w:r>
            <w:r w:rsidRPr="00252ED4">
              <w:rPr>
                <w:rFonts w:eastAsia="Times New Roman"/>
                <w:bCs/>
                <w:vertAlign w:val="superscript"/>
              </w:rPr>
              <w:t>1</w:t>
            </w:r>
            <w:r w:rsidRPr="00252ED4"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5953" w:type="dxa"/>
            <w:vAlign w:val="center"/>
          </w:tcPr>
          <w:p w:rsidR="00A96B26" w:rsidRPr="00252ED4" w:rsidRDefault="00B876B1" w:rsidP="00AA3DAF">
            <w:pPr>
              <w:rPr>
                <w:rFonts w:eastAsia="Times New Roman"/>
                <w:lang w:eastAsia="ru-RU"/>
              </w:rPr>
            </w:pPr>
            <w:r w:rsidRPr="00D1614A">
              <w:rPr>
                <w:b/>
                <w:bdr w:val="none" w:sz="0" w:space="0" w:color="auto" w:frame="1"/>
              </w:rPr>
              <w:t>Україна, 29016, Хмельницька обл., місто Хмельницький, вулиця Тернопільська, будинок 15/2</w:t>
            </w:r>
          </w:p>
        </w:tc>
      </w:tr>
      <w:tr w:rsidR="00A96B26" w:rsidRPr="00252ED4" w:rsidTr="00866D21">
        <w:tc>
          <w:tcPr>
            <w:tcW w:w="3856" w:type="dxa"/>
            <w:vAlign w:val="center"/>
            <w:hideMark/>
          </w:tcPr>
          <w:p w:rsidR="00A96B26" w:rsidRPr="00252ED4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</w:t>
            </w:r>
            <w:r w:rsidRPr="00252ED4">
              <w:rPr>
                <w:rFonts w:eastAsia="Times New Roman"/>
                <w:bCs/>
                <w:vertAlign w:val="superscript"/>
              </w:rPr>
              <w:t>2</w:t>
            </w:r>
            <w:r w:rsidRPr="00252ED4"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5953" w:type="dxa"/>
            <w:vAlign w:val="center"/>
          </w:tcPr>
          <w:p w:rsidR="00A96B26" w:rsidRPr="00252ED4" w:rsidRDefault="00B876B1" w:rsidP="000F1459">
            <w:pPr>
              <w:rPr>
                <w:rFonts w:eastAsia="Times New Roman"/>
                <w:lang w:eastAsia="ru-RU"/>
              </w:rPr>
            </w:pPr>
            <w:r w:rsidRPr="00512518">
              <w:rPr>
                <w:b/>
                <w:bCs/>
              </w:rPr>
              <w:t>02548372</w:t>
            </w:r>
          </w:p>
        </w:tc>
      </w:tr>
      <w:tr w:rsidR="00A96B26" w:rsidRPr="00252ED4" w:rsidTr="00866D21">
        <w:tc>
          <w:tcPr>
            <w:tcW w:w="3856" w:type="dxa"/>
            <w:vAlign w:val="center"/>
            <w:hideMark/>
          </w:tcPr>
          <w:p w:rsidR="00A96B26" w:rsidRPr="00252ED4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</w:t>
            </w:r>
            <w:r w:rsidRPr="00252ED4">
              <w:rPr>
                <w:rFonts w:eastAsia="Times New Roman"/>
                <w:bCs/>
                <w:vertAlign w:val="superscript"/>
              </w:rPr>
              <w:t>3</w:t>
            </w:r>
            <w:r w:rsidRPr="00252ED4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953" w:type="dxa"/>
            <w:vAlign w:val="center"/>
          </w:tcPr>
          <w:p w:rsidR="00A96B26" w:rsidRPr="00252ED4" w:rsidRDefault="00B876B1" w:rsidP="00B876B1">
            <w:pPr>
              <w:jc w:val="both"/>
              <w:rPr>
                <w:rFonts w:eastAsia="Times New Roman"/>
                <w:lang w:eastAsia="ru-RU"/>
              </w:rPr>
            </w:pPr>
            <w:r w:rsidRPr="00AE63B4">
              <w:rPr>
                <w:b/>
                <w:color w:val="000000"/>
              </w:rPr>
              <w:t>Підприємства, установи, організації, зазначені у пункті 3 частини першої статті 2 Закону</w:t>
            </w:r>
          </w:p>
        </w:tc>
      </w:tr>
      <w:tr w:rsidR="00F82397" w:rsidRPr="00252ED4" w:rsidTr="00866D21">
        <w:tc>
          <w:tcPr>
            <w:tcW w:w="3856" w:type="dxa"/>
            <w:vAlign w:val="center"/>
            <w:hideMark/>
          </w:tcPr>
          <w:p w:rsidR="00F82397" w:rsidRPr="00252ED4" w:rsidRDefault="00F82397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5953" w:type="dxa"/>
            <w:vAlign w:val="center"/>
          </w:tcPr>
          <w:p w:rsidR="00F82397" w:rsidRPr="00D867C7" w:rsidRDefault="00CF5681" w:rsidP="003332C3">
            <w:pPr>
              <w:jc w:val="both"/>
            </w:pPr>
            <w:r w:rsidRPr="00D867C7">
              <w:rPr>
                <w:b/>
                <w:lang w:eastAsia="ru-RU"/>
              </w:rPr>
              <w:t>«</w:t>
            </w:r>
            <w:r w:rsidRPr="00D867C7">
              <w:rPr>
                <w:b/>
                <w:shd w:val="clear" w:color="auto" w:fill="FFFFFF"/>
              </w:rPr>
              <w:t xml:space="preserve">код ДК 021:2015 </w:t>
            </w:r>
            <w:r w:rsidRPr="00D867C7">
              <w:rPr>
                <w:b/>
              </w:rPr>
              <w:t xml:space="preserve">- 44220000-8 «Столярні вироби» </w:t>
            </w:r>
            <w:r w:rsidRPr="00D867C7">
              <w:rPr>
                <w:b/>
                <w:shd w:val="clear" w:color="auto" w:fill="FFFFFF"/>
              </w:rPr>
              <w:t>(</w:t>
            </w:r>
            <w:r w:rsidRPr="00D867C7">
              <w:rPr>
                <w:shd w:val="clear" w:color="auto" w:fill="FFFFFF"/>
              </w:rPr>
              <w:t>Комплекти г</w:t>
            </w:r>
            <w:r w:rsidRPr="00D867C7">
              <w:rPr>
                <w:bCs/>
                <w:shd w:val="clear" w:color="auto" w:fill="FFFFFF"/>
              </w:rPr>
              <w:t>аражних секційних воріт для створення центру з підготовки кваліфікованих робітників з професії «Слюсар з ремонту колісних транспортних засобів. Слюсар електрик з ремонту електроустаткування»</w:t>
            </w:r>
            <w:r w:rsidRPr="00D867C7">
              <w:rPr>
                <w:b/>
                <w:shd w:val="clear" w:color="auto" w:fill="FFFFFF"/>
              </w:rPr>
              <w:t>)</w:t>
            </w:r>
            <w:r w:rsidRPr="00D867C7">
              <w:rPr>
                <w:b/>
              </w:rPr>
              <w:t>»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953" w:type="dxa"/>
            <w:vAlign w:val="center"/>
          </w:tcPr>
          <w:p w:rsidR="00CF5681" w:rsidRPr="00D867C7" w:rsidRDefault="00CF5681" w:rsidP="00CF5681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 w:val="0"/>
              <w:rPr>
                <w:b/>
              </w:rPr>
            </w:pPr>
            <w:r w:rsidRPr="00D867C7">
              <w:rPr>
                <w:b/>
              </w:rPr>
              <w:t>Гаражні секційні ворота ТИП 1 – 1 комплект.;</w:t>
            </w:r>
          </w:p>
          <w:p w:rsidR="00CF5681" w:rsidRPr="00D867C7" w:rsidRDefault="00CF5681" w:rsidP="00CF5681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 w:val="0"/>
              <w:rPr>
                <w:b/>
              </w:rPr>
            </w:pPr>
            <w:r w:rsidRPr="00D867C7">
              <w:rPr>
                <w:b/>
              </w:rPr>
              <w:t xml:space="preserve">Гаражні секційні ворота ТИП </w:t>
            </w:r>
            <w:r w:rsidR="00003EF5" w:rsidRPr="00D867C7">
              <w:rPr>
                <w:b/>
              </w:rPr>
              <w:t>2</w:t>
            </w:r>
            <w:r w:rsidRPr="00D867C7">
              <w:rPr>
                <w:b/>
              </w:rPr>
              <w:t xml:space="preserve"> – </w:t>
            </w:r>
            <w:r w:rsidR="00FD7ABF" w:rsidRPr="00D867C7">
              <w:rPr>
                <w:b/>
              </w:rPr>
              <w:t>2</w:t>
            </w:r>
            <w:r w:rsidRPr="00D867C7">
              <w:rPr>
                <w:b/>
              </w:rPr>
              <w:t xml:space="preserve"> комплект</w:t>
            </w:r>
            <w:r w:rsidR="00FD7ABF" w:rsidRPr="00D867C7">
              <w:rPr>
                <w:b/>
              </w:rPr>
              <w:t>и</w:t>
            </w:r>
            <w:r w:rsidRPr="00D867C7">
              <w:rPr>
                <w:b/>
              </w:rPr>
              <w:t>.</w:t>
            </w:r>
          </w:p>
          <w:p w:rsidR="00CB73B3" w:rsidRPr="00D867C7" w:rsidRDefault="00E9303C" w:rsidP="00E9303C">
            <w:pPr>
              <w:rPr>
                <w:b/>
              </w:rPr>
            </w:pPr>
            <w:r w:rsidRPr="00D867C7">
              <w:rPr>
                <w:b/>
              </w:rPr>
              <w:t>Більш детально щодо кількості та обсягу товару зазначено у Додатку 2 до тендерної документації.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3</w:t>
            </w:r>
            <w:r w:rsidRPr="00252ED4">
              <w:rPr>
                <w:rFonts w:eastAsia="Times New Roman"/>
                <w:bCs/>
                <w:vertAlign w:val="superscript"/>
              </w:rPr>
              <w:t>1</w:t>
            </w:r>
            <w:r w:rsidRPr="00252ED4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953" w:type="dxa"/>
            <w:vAlign w:val="center"/>
          </w:tcPr>
          <w:p w:rsidR="00EC1376" w:rsidRPr="00D867C7" w:rsidRDefault="00B876B1" w:rsidP="00C528E4">
            <w:pPr>
              <w:ind w:right="144"/>
              <w:jc w:val="both"/>
              <w:rPr>
                <w:b/>
              </w:rPr>
            </w:pPr>
            <w:bookmarkStart w:id="0" w:name="_Hlk47606587"/>
            <w:r w:rsidRPr="00D867C7">
              <w:rPr>
                <w:b/>
                <w:bdr w:val="none" w:sz="0" w:space="0" w:color="auto" w:frame="1"/>
              </w:rPr>
              <w:t>29016, Хмельницька обл., місто Хмельницький, вулиця Тернопільська, будинок 15/2</w:t>
            </w:r>
            <w:bookmarkEnd w:id="0"/>
          </w:p>
        </w:tc>
      </w:tr>
      <w:tr w:rsidR="00EC1376" w:rsidRPr="009205BC" w:rsidTr="00987EED">
        <w:tc>
          <w:tcPr>
            <w:tcW w:w="3856" w:type="dxa"/>
            <w:vAlign w:val="center"/>
            <w:hideMark/>
          </w:tcPr>
          <w:p w:rsidR="00EC1376" w:rsidRPr="00A337F7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A337F7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EC1376" w:rsidRPr="00D867C7" w:rsidRDefault="00CF5681" w:rsidP="00F82397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 w:rsidRPr="00D867C7">
              <w:rPr>
                <w:b/>
                <w:lang w:val="uk-UA"/>
              </w:rPr>
              <w:t>159000.00 грн. (сто п’ятдесят дев’ять тисяч гривень 00 копійок) з ПДВ.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953" w:type="dxa"/>
            <w:vAlign w:val="center"/>
          </w:tcPr>
          <w:p w:rsidR="00EC1376" w:rsidRPr="00D867C7" w:rsidRDefault="00EC1376" w:rsidP="00CD41B3">
            <w:pPr>
              <w:rPr>
                <w:rStyle w:val="a3"/>
                <w:rFonts w:eastAsia="Times New Roman"/>
              </w:rPr>
            </w:pPr>
            <w:r w:rsidRPr="00D867C7">
              <w:rPr>
                <w:rFonts w:eastAsia="Times New Roman"/>
                <w:b/>
                <w:lang w:eastAsia="ru-RU"/>
              </w:rPr>
              <w:t xml:space="preserve">до </w:t>
            </w:r>
            <w:r w:rsidR="00F82397" w:rsidRPr="00D867C7">
              <w:rPr>
                <w:b/>
              </w:rPr>
              <w:t>31</w:t>
            </w:r>
            <w:r w:rsidR="008E6B05" w:rsidRPr="00D867C7">
              <w:rPr>
                <w:b/>
              </w:rPr>
              <w:t>.</w:t>
            </w:r>
            <w:r w:rsidR="00CD41B3" w:rsidRPr="00D867C7">
              <w:rPr>
                <w:b/>
              </w:rPr>
              <w:t>12</w:t>
            </w:r>
            <w:r w:rsidR="008E6B05" w:rsidRPr="00D867C7">
              <w:rPr>
                <w:b/>
              </w:rPr>
              <w:t xml:space="preserve">.2023 </w:t>
            </w:r>
            <w:r w:rsidRPr="00D867C7">
              <w:rPr>
                <w:rFonts w:eastAsia="Times New Roman"/>
                <w:b/>
                <w:lang w:eastAsia="ru-RU"/>
              </w:rPr>
              <w:t>року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953" w:type="dxa"/>
            <w:vAlign w:val="center"/>
          </w:tcPr>
          <w:p w:rsidR="00EC1376" w:rsidRPr="00D867C7" w:rsidRDefault="00CD41B3" w:rsidP="00E96135">
            <w:pPr>
              <w:textAlignment w:val="top"/>
              <w:rPr>
                <w:rFonts w:eastAsia="Times New Roman"/>
                <w:bCs/>
                <w:highlight w:val="yellow"/>
              </w:rPr>
            </w:pPr>
            <w:r w:rsidRPr="00D867C7">
              <w:rPr>
                <w:rStyle w:val="a3"/>
                <w:shd w:val="clear" w:color="auto" w:fill="FFFFFF" w:themeFill="background1"/>
              </w:rPr>
              <w:t>0</w:t>
            </w:r>
            <w:r w:rsidR="00E96135" w:rsidRPr="00D867C7">
              <w:rPr>
                <w:rStyle w:val="a3"/>
                <w:shd w:val="clear" w:color="auto" w:fill="FFFFFF" w:themeFill="background1"/>
              </w:rPr>
              <w:t>6</w:t>
            </w:r>
            <w:r w:rsidR="009F5272" w:rsidRPr="00D867C7">
              <w:rPr>
                <w:rStyle w:val="a3"/>
                <w:lang w:val="en-US"/>
              </w:rPr>
              <w:t>.</w:t>
            </w:r>
            <w:r w:rsidRPr="00D867C7">
              <w:rPr>
                <w:rStyle w:val="a3"/>
              </w:rPr>
              <w:t>10</w:t>
            </w:r>
            <w:r w:rsidR="00EC1376" w:rsidRPr="00D867C7">
              <w:rPr>
                <w:rStyle w:val="a3"/>
              </w:rPr>
              <w:t>.202</w:t>
            </w:r>
            <w:r w:rsidR="008E6B05" w:rsidRPr="00D867C7">
              <w:rPr>
                <w:rStyle w:val="a3"/>
              </w:rPr>
              <w:t>3</w:t>
            </w:r>
            <w:r w:rsidR="00EC1376" w:rsidRPr="00D867C7">
              <w:rPr>
                <w:rStyle w:val="a3"/>
                <w:rFonts w:eastAsia="Times New Roman"/>
                <w:bCs w:val="0"/>
              </w:rPr>
              <w:t> року</w:t>
            </w:r>
            <w:r w:rsidR="004C3860" w:rsidRPr="00D867C7">
              <w:rPr>
                <w:rStyle w:val="a3"/>
                <w:rFonts w:eastAsia="Times New Roman"/>
                <w:bCs w:val="0"/>
              </w:rPr>
              <w:t xml:space="preserve"> </w:t>
            </w:r>
            <w:r w:rsidR="008E6B05" w:rsidRPr="00D867C7">
              <w:rPr>
                <w:rStyle w:val="a3"/>
                <w:rFonts w:eastAsia="Times New Roman"/>
                <w:bCs w:val="0"/>
              </w:rPr>
              <w:t xml:space="preserve">до </w:t>
            </w:r>
            <w:r w:rsidR="004C3860" w:rsidRPr="00D867C7">
              <w:rPr>
                <w:rStyle w:val="a3"/>
                <w:rFonts w:eastAsia="Times New Roman"/>
                <w:bCs w:val="0"/>
              </w:rPr>
              <w:t>18:00</w:t>
            </w:r>
            <w:r w:rsidR="008E6B05" w:rsidRPr="00D867C7">
              <w:rPr>
                <w:rStyle w:val="a3"/>
                <w:rFonts w:eastAsia="Times New Roman"/>
                <w:bCs w:val="0"/>
              </w:rPr>
              <w:t xml:space="preserve"> год.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953" w:type="dxa"/>
            <w:vAlign w:val="center"/>
          </w:tcPr>
          <w:p w:rsidR="00EF7A4C" w:rsidRPr="00252ED4" w:rsidRDefault="004C3860" w:rsidP="009263B9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Тип : </w:t>
            </w:r>
            <w:proofErr w:type="spellStart"/>
            <w:r w:rsidR="00EF7A4C" w:rsidRPr="00252ED4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="00EF7A4C" w:rsidRPr="00252ED4">
              <w:rPr>
                <w:rFonts w:eastAsia="Times New Roman"/>
                <w:b/>
                <w:bCs/>
              </w:rPr>
              <w:t xml:space="preserve">; </w:t>
            </w:r>
          </w:p>
          <w:p w:rsidR="00EF7A4C" w:rsidRPr="00252ED4" w:rsidRDefault="00EF7A4C" w:rsidP="009263B9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252ED4">
              <w:rPr>
                <w:rFonts w:eastAsia="Times New Roman"/>
                <w:b/>
                <w:bCs/>
              </w:rPr>
              <w:t xml:space="preserve">Період та тип днів: </w:t>
            </w:r>
            <w:r w:rsidR="00510B6D">
              <w:rPr>
                <w:rFonts w:eastAsia="Times New Roman"/>
                <w:b/>
                <w:bCs/>
              </w:rPr>
              <w:t>30</w:t>
            </w:r>
            <w:r w:rsidRPr="00252ED4">
              <w:rPr>
                <w:rFonts w:eastAsia="Times New Roman"/>
                <w:b/>
                <w:bCs/>
              </w:rPr>
              <w:t xml:space="preserve"> </w:t>
            </w:r>
            <w:r w:rsidR="00510B6D">
              <w:rPr>
                <w:rFonts w:eastAsia="Times New Roman"/>
                <w:b/>
                <w:bCs/>
              </w:rPr>
              <w:t>календарних</w:t>
            </w:r>
            <w:r w:rsidRPr="00252ED4">
              <w:rPr>
                <w:rFonts w:eastAsia="Times New Roman"/>
                <w:b/>
                <w:bCs/>
              </w:rPr>
              <w:t xml:space="preserve"> днів; </w:t>
            </w:r>
          </w:p>
          <w:p w:rsidR="00EF7A4C" w:rsidRPr="00252ED4" w:rsidRDefault="00EF7A4C" w:rsidP="009263B9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252ED4">
              <w:rPr>
                <w:rFonts w:eastAsia="Times New Roman"/>
                <w:b/>
                <w:bCs/>
              </w:rPr>
              <w:t xml:space="preserve">Розмір оплати: </w:t>
            </w:r>
            <w:r w:rsidR="00510B6D">
              <w:rPr>
                <w:rFonts w:eastAsia="Times New Roman"/>
                <w:b/>
                <w:bCs/>
              </w:rPr>
              <w:t>100</w:t>
            </w:r>
            <w:r w:rsidRPr="00252ED4">
              <w:rPr>
                <w:rFonts w:eastAsia="Times New Roman"/>
                <w:b/>
                <w:bCs/>
              </w:rPr>
              <w:t xml:space="preserve">%; </w:t>
            </w:r>
          </w:p>
          <w:p w:rsidR="00EC1376" w:rsidRPr="00F82397" w:rsidRDefault="00EF7A4C" w:rsidP="009263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3"/>
                <w:b w:val="0"/>
                <w:bCs w:val="0"/>
                <w:lang w:val="uk-UA"/>
              </w:rPr>
            </w:pPr>
            <w:proofErr w:type="spellStart"/>
            <w:r w:rsidRPr="00252ED4">
              <w:rPr>
                <w:b/>
                <w:bCs/>
              </w:rPr>
              <w:t>Примітка</w:t>
            </w:r>
            <w:proofErr w:type="spellEnd"/>
            <w:r w:rsidRPr="00252ED4">
              <w:rPr>
                <w:b/>
                <w:bCs/>
              </w:rPr>
              <w:t>:</w:t>
            </w:r>
            <w:r w:rsidRPr="005F2CC6">
              <w:rPr>
                <w:b/>
                <w:bCs/>
              </w:rPr>
              <w:t xml:space="preserve"> </w:t>
            </w:r>
            <w:r w:rsidR="005F2CC6" w:rsidRPr="005F2CC6">
              <w:rPr>
                <w:bCs/>
                <w:lang w:val="uk-UA"/>
              </w:rPr>
              <w:t>Розрахунки проводяться протягом 30 (тридцяти) календарних днів з моменту поставки Товару та виконання Робіт згідно з умовами Договору на підставі належно оформленого Акту приймання-передачі.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8. Мова (мови), якою</w:t>
            </w:r>
            <w:r w:rsidR="00B84BA3" w:rsidRPr="00252ED4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953" w:type="dxa"/>
            <w:vAlign w:val="center"/>
          </w:tcPr>
          <w:p w:rsidR="00EC1376" w:rsidRPr="00252ED4" w:rsidRDefault="00510B6D" w:rsidP="009263B9">
            <w:pPr>
              <w:jc w:val="both"/>
              <w:textAlignment w:val="top"/>
              <w:rPr>
                <w:rStyle w:val="a3"/>
              </w:rPr>
            </w:pPr>
            <w:r w:rsidRPr="007B2F0A">
              <w:rPr>
                <w:color w:val="000000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мовою, якщо інше не встановлено вимогами тендерної документації</w:t>
            </w:r>
          </w:p>
        </w:tc>
      </w:tr>
      <w:tr w:rsidR="00B84BA3" w:rsidRPr="00252ED4" w:rsidTr="00866D21">
        <w:tc>
          <w:tcPr>
            <w:tcW w:w="3856" w:type="dxa"/>
            <w:vAlign w:val="center"/>
            <w:hideMark/>
          </w:tcPr>
          <w:p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9.</w:t>
            </w:r>
            <w:r w:rsidRPr="00252ED4">
              <w:t xml:space="preserve"> </w:t>
            </w:r>
            <w:r w:rsidRPr="00252ED4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252ED4">
              <w:rPr>
                <w:rFonts w:eastAsia="Times New Roman"/>
                <w:bCs/>
              </w:rPr>
              <w:t xml:space="preserve"> (якщо замовник вимагає його надати):</w:t>
            </w:r>
          </w:p>
        </w:tc>
        <w:tc>
          <w:tcPr>
            <w:tcW w:w="5953" w:type="dxa"/>
            <w:vAlign w:val="center"/>
          </w:tcPr>
          <w:p w:rsidR="00B84BA3" w:rsidRPr="004C3860" w:rsidRDefault="004C3860" w:rsidP="004E11A7">
            <w:pPr>
              <w:jc w:val="both"/>
              <w:textAlignment w:val="top"/>
              <w:rPr>
                <w:rStyle w:val="a3"/>
                <w:b w:val="0"/>
                <w:bCs w:val="0"/>
              </w:rPr>
            </w:pPr>
            <w:r w:rsidRPr="004C3860">
              <w:rPr>
                <w:b/>
                <w:bCs/>
              </w:rPr>
              <w:t>Не вимагається</w:t>
            </w:r>
          </w:p>
        </w:tc>
      </w:tr>
      <w:tr w:rsidR="00B84BA3" w:rsidRPr="00252ED4" w:rsidTr="00866D21">
        <w:tc>
          <w:tcPr>
            <w:tcW w:w="3856" w:type="dxa"/>
            <w:vAlign w:val="center"/>
            <w:hideMark/>
          </w:tcPr>
          <w:p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10.</w:t>
            </w:r>
            <w:r w:rsidRPr="00252ED4">
              <w:t xml:space="preserve"> Д</w:t>
            </w:r>
            <w:r w:rsidRPr="00252ED4">
              <w:rPr>
                <w:rFonts w:eastAsia="Times New Roman"/>
                <w:bCs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953" w:type="dxa"/>
            <w:vAlign w:val="center"/>
          </w:tcPr>
          <w:p w:rsidR="00B84BA3" w:rsidRPr="00252ED4" w:rsidRDefault="00B84BA3" w:rsidP="00510B6D">
            <w:pPr>
              <w:jc w:val="both"/>
              <w:textAlignment w:val="top"/>
              <w:rPr>
                <w:rStyle w:val="a3"/>
              </w:rPr>
            </w:pPr>
            <w:r w:rsidRPr="00252ED4">
              <w:rPr>
                <w:rStyle w:val="a3"/>
              </w:rPr>
              <w:t>Не зазначається, адже оголошення про проведення відкритих торгів оприлюднюється</w:t>
            </w:r>
            <w:r w:rsidR="0097646A" w:rsidRPr="00252ED4">
              <w:rPr>
                <w:rStyle w:val="a3"/>
              </w:rPr>
              <w:t xml:space="preserve"> не</w:t>
            </w:r>
            <w:r w:rsidRPr="00252ED4">
              <w:rPr>
                <w:rStyle w:val="a3"/>
              </w:rPr>
              <w:t xml:space="preserve"> відповідно до частини </w:t>
            </w:r>
            <w:r w:rsidR="00510B6D">
              <w:rPr>
                <w:rStyle w:val="a3"/>
              </w:rPr>
              <w:t>третьої</w:t>
            </w:r>
            <w:r w:rsidRPr="00252ED4">
              <w:rPr>
                <w:rStyle w:val="a3"/>
              </w:rPr>
              <w:t xml:space="preserve"> статті 10 Закону</w:t>
            </w:r>
            <w:r w:rsidR="008E6B05">
              <w:rPr>
                <w:rStyle w:val="a3"/>
              </w:rPr>
              <w:t xml:space="preserve"> України «Про публічні закупівлі» </w:t>
            </w:r>
          </w:p>
        </w:tc>
      </w:tr>
      <w:tr w:rsidR="00B84BA3" w:rsidRPr="00252ED4" w:rsidTr="00866D21">
        <w:tc>
          <w:tcPr>
            <w:tcW w:w="3856" w:type="dxa"/>
            <w:vAlign w:val="center"/>
            <w:hideMark/>
          </w:tcPr>
          <w:p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11.</w:t>
            </w:r>
            <w:r w:rsidRPr="00252ED4">
              <w:t xml:space="preserve"> Р</w:t>
            </w:r>
            <w:r w:rsidRPr="00252ED4">
              <w:rPr>
                <w:rFonts w:eastAsia="Times New Roman"/>
                <w:bCs/>
              </w:rPr>
              <w:t xml:space="preserve">озмір мінімального кроку </w:t>
            </w:r>
            <w:r w:rsidRPr="00252ED4">
              <w:rPr>
                <w:rFonts w:eastAsia="Times New Roman"/>
                <w:bCs/>
              </w:rPr>
              <w:lastRenderedPageBreak/>
              <w:t>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953" w:type="dxa"/>
            <w:vAlign w:val="center"/>
          </w:tcPr>
          <w:p w:rsidR="00B84BA3" w:rsidRPr="00252ED4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252ED4">
              <w:rPr>
                <w:rStyle w:val="a3"/>
              </w:rPr>
              <w:lastRenderedPageBreak/>
              <w:t xml:space="preserve"> 0,5 %</w:t>
            </w:r>
          </w:p>
          <w:p w:rsidR="00B84BA3" w:rsidRPr="00252ED4" w:rsidRDefault="00B84BA3" w:rsidP="00D13BBC">
            <w:pPr>
              <w:jc w:val="both"/>
              <w:textAlignment w:val="top"/>
              <w:rPr>
                <w:rStyle w:val="a3"/>
              </w:rPr>
            </w:pPr>
          </w:p>
        </w:tc>
      </w:tr>
      <w:tr w:rsidR="00B84BA3" w:rsidRPr="00252ED4" w:rsidTr="00866D21">
        <w:tc>
          <w:tcPr>
            <w:tcW w:w="3856" w:type="dxa"/>
            <w:vAlign w:val="center"/>
            <w:hideMark/>
          </w:tcPr>
          <w:p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lastRenderedPageBreak/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953" w:type="dxa"/>
            <w:vAlign w:val="center"/>
          </w:tcPr>
          <w:p w:rsidR="00B84BA3" w:rsidRPr="00252ED4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252ED4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:rsidR="002B049C" w:rsidRPr="00252ED4" w:rsidRDefault="002B049C">
      <w:pPr>
        <w:textAlignment w:val="top"/>
        <w:rPr>
          <w:rFonts w:eastAsia="Times New Roman"/>
          <w:sz w:val="10"/>
          <w:szCs w:val="10"/>
        </w:rPr>
      </w:pPr>
    </w:p>
    <w:p w:rsidR="00A027FD" w:rsidRPr="00252ED4" w:rsidRDefault="00A027FD">
      <w:pPr>
        <w:textAlignment w:val="top"/>
        <w:rPr>
          <w:rFonts w:eastAsia="Times New Roman"/>
          <w:sz w:val="10"/>
          <w:szCs w:val="10"/>
        </w:rPr>
      </w:pPr>
    </w:p>
    <w:p w:rsidR="002B049C" w:rsidRPr="00252ED4" w:rsidRDefault="002B049C">
      <w:pPr>
        <w:textAlignment w:val="top"/>
        <w:rPr>
          <w:rFonts w:eastAsia="Times New Roman"/>
          <w:bCs/>
          <w:sz w:val="10"/>
          <w:szCs w:val="10"/>
        </w:rPr>
      </w:pPr>
    </w:p>
    <w:p w:rsidR="00510B6D" w:rsidRPr="007B2F0A" w:rsidRDefault="00510B6D" w:rsidP="00510B6D">
      <w:pPr>
        <w:spacing w:line="264" w:lineRule="auto"/>
        <w:jc w:val="center"/>
        <w:rPr>
          <w:b/>
          <w:sz w:val="28"/>
          <w:szCs w:val="28"/>
        </w:rPr>
      </w:pPr>
      <w:r w:rsidRPr="007B2F0A">
        <w:rPr>
          <w:i/>
          <w:sz w:val="16"/>
          <w:szCs w:val="16"/>
        </w:rPr>
        <w:t>* з особливостями затвердженими постановою Кабінету Міністрів України від 12 жовтня 2022 р. № 1178</w:t>
      </w:r>
    </w:p>
    <w:p w:rsidR="00FF2126" w:rsidRPr="00252ED4" w:rsidRDefault="00FF2126">
      <w:pPr>
        <w:rPr>
          <w:rFonts w:eastAsia="Times New Roman"/>
          <w:bCs/>
        </w:rPr>
      </w:pPr>
    </w:p>
    <w:p w:rsidR="00EF218C" w:rsidRPr="005F5F42" w:rsidRDefault="00EF218C">
      <w:pPr>
        <w:rPr>
          <w:rFonts w:eastAsia="Times New Roman"/>
          <w:bCs/>
        </w:rPr>
      </w:pPr>
    </w:p>
    <w:tbl>
      <w:tblPr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3089"/>
      </w:tblGrid>
      <w:tr w:rsidR="00510B6D" w:rsidRPr="00495B17" w:rsidTr="00510B6D">
        <w:trPr>
          <w:trHeight w:val="131"/>
          <w:jc w:val="center"/>
        </w:trPr>
        <w:tc>
          <w:tcPr>
            <w:tcW w:w="3664" w:type="dxa"/>
          </w:tcPr>
          <w:p w:rsidR="00510B6D" w:rsidRPr="00495B17" w:rsidRDefault="00510B6D" w:rsidP="00EC277D">
            <w:pPr>
              <w:tabs>
                <w:tab w:val="left" w:pos="1440"/>
              </w:tabs>
              <w:ind w:firstLine="3"/>
              <w:jc w:val="center"/>
            </w:pPr>
            <w:r w:rsidRPr="00495B17">
              <w:rPr>
                <w:b/>
              </w:rPr>
              <w:t>Уповноважена особа</w:t>
            </w:r>
          </w:p>
          <w:p w:rsidR="00510B6D" w:rsidRPr="00495B17" w:rsidRDefault="00510B6D" w:rsidP="00EC277D">
            <w:pPr>
              <w:shd w:val="clear" w:color="auto" w:fill="FFFFFF"/>
              <w:jc w:val="center"/>
              <w:rPr>
                <w:i/>
              </w:rPr>
            </w:pPr>
            <w:r w:rsidRPr="00495B17">
              <w:rPr>
                <w:rFonts w:eastAsia="Arial"/>
                <w:b/>
              </w:rPr>
              <w:t xml:space="preserve">Державного навчального закладу "Вище професійне училище № 11 м. Хмельницького" </w:t>
            </w:r>
            <w:r w:rsidRPr="00495B17">
              <w:rPr>
                <w:b/>
              </w:rPr>
              <w:t xml:space="preserve"> </w:t>
            </w:r>
          </w:p>
        </w:tc>
        <w:tc>
          <w:tcPr>
            <w:tcW w:w="3285" w:type="dxa"/>
            <w:vAlign w:val="center"/>
            <w:hideMark/>
          </w:tcPr>
          <w:p w:rsidR="00510B6D" w:rsidRPr="00495B17" w:rsidRDefault="00510B6D" w:rsidP="00EC277D">
            <w:pPr>
              <w:tabs>
                <w:tab w:val="left" w:pos="1440"/>
              </w:tabs>
              <w:jc w:val="center"/>
            </w:pPr>
            <w:r w:rsidRPr="00495B17">
              <w:t>________________</w:t>
            </w:r>
          </w:p>
        </w:tc>
        <w:tc>
          <w:tcPr>
            <w:tcW w:w="3089" w:type="dxa"/>
            <w:vAlign w:val="center"/>
            <w:hideMark/>
          </w:tcPr>
          <w:p w:rsidR="00510B6D" w:rsidRPr="00495B17" w:rsidRDefault="00510B6D" w:rsidP="00EC277D">
            <w:pPr>
              <w:tabs>
                <w:tab w:val="left" w:pos="1440"/>
              </w:tabs>
              <w:jc w:val="center"/>
              <w:rPr>
                <w:color w:val="FF0000"/>
                <w:highlight w:val="yellow"/>
              </w:rPr>
            </w:pPr>
            <w:r w:rsidRPr="009205BC">
              <w:rPr>
                <w:b/>
              </w:rPr>
              <w:t>Ткачук Ірина</w:t>
            </w:r>
            <w:r w:rsidRPr="009205BC">
              <w:rPr>
                <w:b/>
                <w:color w:val="FF0000"/>
              </w:rPr>
              <w:t xml:space="preserve"> </w:t>
            </w:r>
            <w:r w:rsidRPr="009205BC">
              <w:rPr>
                <w:b/>
              </w:rPr>
              <w:t>Миколаївна</w:t>
            </w:r>
          </w:p>
        </w:tc>
      </w:tr>
    </w:tbl>
    <w:p w:rsidR="00E06F47" w:rsidRPr="00252ED4" w:rsidRDefault="00E06F47" w:rsidP="00CB73B3">
      <w:pPr>
        <w:rPr>
          <w:rFonts w:eastAsia="Times New Roman"/>
          <w:bCs/>
        </w:rPr>
      </w:pPr>
      <w:bookmarkStart w:id="1" w:name="_GoBack"/>
      <w:bookmarkEnd w:id="1"/>
    </w:p>
    <w:sectPr w:rsidR="00E06F47" w:rsidRPr="00252ED4" w:rsidSect="00510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9F" w:rsidRDefault="008F3F9F" w:rsidP="003E1630">
      <w:r>
        <w:separator/>
      </w:r>
    </w:p>
  </w:endnote>
  <w:endnote w:type="continuationSeparator" w:id="0">
    <w:p w:rsidR="008F3F9F" w:rsidRDefault="008F3F9F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9F" w:rsidRDefault="008F3F9F" w:rsidP="003E1630">
      <w:r>
        <w:separator/>
      </w:r>
    </w:p>
  </w:footnote>
  <w:footnote w:type="continuationSeparator" w:id="0">
    <w:p w:rsidR="008F3F9F" w:rsidRDefault="008F3F9F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2433"/>
    <w:multiLevelType w:val="hybridMultilevel"/>
    <w:tmpl w:val="28886E14"/>
    <w:lvl w:ilvl="0" w:tplc="30AED392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</w:lvl>
    <w:lvl w:ilvl="3" w:tplc="0422000F" w:tentative="1">
      <w:start w:val="1"/>
      <w:numFmt w:val="decimal"/>
      <w:lvlText w:val="%4."/>
      <w:lvlJc w:val="left"/>
      <w:pPr>
        <w:ind w:left="2532" w:hanging="360"/>
      </w:p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</w:lvl>
    <w:lvl w:ilvl="6" w:tplc="0422000F" w:tentative="1">
      <w:start w:val="1"/>
      <w:numFmt w:val="decimal"/>
      <w:lvlText w:val="%7."/>
      <w:lvlJc w:val="left"/>
      <w:pPr>
        <w:ind w:left="4692" w:hanging="360"/>
      </w:p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820"/>
    <w:rsid w:val="00003EF5"/>
    <w:rsid w:val="000373C0"/>
    <w:rsid w:val="00084C1A"/>
    <w:rsid w:val="000B2BB9"/>
    <w:rsid w:val="000B58AF"/>
    <w:rsid w:val="000F1459"/>
    <w:rsid w:val="000F2936"/>
    <w:rsid w:val="00110BB8"/>
    <w:rsid w:val="001136FB"/>
    <w:rsid w:val="0015045A"/>
    <w:rsid w:val="00155EE8"/>
    <w:rsid w:val="00160DAA"/>
    <w:rsid w:val="001750A1"/>
    <w:rsid w:val="001E4BDE"/>
    <w:rsid w:val="001F0BF9"/>
    <w:rsid w:val="0020778B"/>
    <w:rsid w:val="0022430B"/>
    <w:rsid w:val="00245B4C"/>
    <w:rsid w:val="00252ED4"/>
    <w:rsid w:val="0029390A"/>
    <w:rsid w:val="002B049C"/>
    <w:rsid w:val="00304CFB"/>
    <w:rsid w:val="003332C3"/>
    <w:rsid w:val="00345A95"/>
    <w:rsid w:val="003C6B98"/>
    <w:rsid w:val="003E1630"/>
    <w:rsid w:val="003F09C9"/>
    <w:rsid w:val="003F4B0E"/>
    <w:rsid w:val="0040688E"/>
    <w:rsid w:val="00413D27"/>
    <w:rsid w:val="004154F7"/>
    <w:rsid w:val="00437CEF"/>
    <w:rsid w:val="004750AA"/>
    <w:rsid w:val="004860D1"/>
    <w:rsid w:val="004A7A55"/>
    <w:rsid w:val="004C3860"/>
    <w:rsid w:val="004C70EE"/>
    <w:rsid w:val="004E11A7"/>
    <w:rsid w:val="004E74B1"/>
    <w:rsid w:val="004F3F1C"/>
    <w:rsid w:val="005011D7"/>
    <w:rsid w:val="00510B6D"/>
    <w:rsid w:val="005309AC"/>
    <w:rsid w:val="005320D6"/>
    <w:rsid w:val="00572CA1"/>
    <w:rsid w:val="0059030C"/>
    <w:rsid w:val="005A081E"/>
    <w:rsid w:val="005B1F53"/>
    <w:rsid w:val="005F2CC6"/>
    <w:rsid w:val="005F5F42"/>
    <w:rsid w:val="006041E3"/>
    <w:rsid w:val="00624DDA"/>
    <w:rsid w:val="0067577D"/>
    <w:rsid w:val="00675DF1"/>
    <w:rsid w:val="0068286E"/>
    <w:rsid w:val="00694272"/>
    <w:rsid w:val="006A2FBC"/>
    <w:rsid w:val="006F0E52"/>
    <w:rsid w:val="00702812"/>
    <w:rsid w:val="00712F9B"/>
    <w:rsid w:val="007220D5"/>
    <w:rsid w:val="00754919"/>
    <w:rsid w:val="00775161"/>
    <w:rsid w:val="007773B3"/>
    <w:rsid w:val="007A274E"/>
    <w:rsid w:val="007A6C39"/>
    <w:rsid w:val="007C36B6"/>
    <w:rsid w:val="00804312"/>
    <w:rsid w:val="008053DA"/>
    <w:rsid w:val="008208F9"/>
    <w:rsid w:val="0082124D"/>
    <w:rsid w:val="00831AD0"/>
    <w:rsid w:val="00843071"/>
    <w:rsid w:val="00863FC8"/>
    <w:rsid w:val="00866D21"/>
    <w:rsid w:val="00871259"/>
    <w:rsid w:val="008739E0"/>
    <w:rsid w:val="00887249"/>
    <w:rsid w:val="008D7546"/>
    <w:rsid w:val="008E6B05"/>
    <w:rsid w:val="008F3F9F"/>
    <w:rsid w:val="00905B19"/>
    <w:rsid w:val="009205BC"/>
    <w:rsid w:val="009263B9"/>
    <w:rsid w:val="009466B3"/>
    <w:rsid w:val="0097646A"/>
    <w:rsid w:val="0098127B"/>
    <w:rsid w:val="00987EED"/>
    <w:rsid w:val="009914A2"/>
    <w:rsid w:val="0099273F"/>
    <w:rsid w:val="00993A44"/>
    <w:rsid w:val="00993CFA"/>
    <w:rsid w:val="009B7602"/>
    <w:rsid w:val="009C7246"/>
    <w:rsid w:val="009D1AD8"/>
    <w:rsid w:val="009E2608"/>
    <w:rsid w:val="009F40D9"/>
    <w:rsid w:val="009F5272"/>
    <w:rsid w:val="00A027FD"/>
    <w:rsid w:val="00A173D3"/>
    <w:rsid w:val="00A337F7"/>
    <w:rsid w:val="00A47D35"/>
    <w:rsid w:val="00A96B26"/>
    <w:rsid w:val="00AA1296"/>
    <w:rsid w:val="00AC7DE0"/>
    <w:rsid w:val="00AE38E3"/>
    <w:rsid w:val="00B31CD5"/>
    <w:rsid w:val="00B549FB"/>
    <w:rsid w:val="00B667FB"/>
    <w:rsid w:val="00B7233D"/>
    <w:rsid w:val="00B84BA3"/>
    <w:rsid w:val="00B876B1"/>
    <w:rsid w:val="00BA7CDF"/>
    <w:rsid w:val="00BC57BB"/>
    <w:rsid w:val="00BC6E44"/>
    <w:rsid w:val="00BE6648"/>
    <w:rsid w:val="00BF2333"/>
    <w:rsid w:val="00C1627C"/>
    <w:rsid w:val="00C25637"/>
    <w:rsid w:val="00C34847"/>
    <w:rsid w:val="00C51275"/>
    <w:rsid w:val="00C528E4"/>
    <w:rsid w:val="00C91E53"/>
    <w:rsid w:val="00C96D6F"/>
    <w:rsid w:val="00CA1A24"/>
    <w:rsid w:val="00CA2FF3"/>
    <w:rsid w:val="00CB73B3"/>
    <w:rsid w:val="00CD34A5"/>
    <w:rsid w:val="00CD41B3"/>
    <w:rsid w:val="00CF3911"/>
    <w:rsid w:val="00CF5681"/>
    <w:rsid w:val="00D1388F"/>
    <w:rsid w:val="00D13BBC"/>
    <w:rsid w:val="00D20208"/>
    <w:rsid w:val="00D2619D"/>
    <w:rsid w:val="00D85C59"/>
    <w:rsid w:val="00D867C7"/>
    <w:rsid w:val="00D871FA"/>
    <w:rsid w:val="00D87E90"/>
    <w:rsid w:val="00DC4C29"/>
    <w:rsid w:val="00DD54A4"/>
    <w:rsid w:val="00DE151D"/>
    <w:rsid w:val="00DE615C"/>
    <w:rsid w:val="00DF3C8A"/>
    <w:rsid w:val="00E06F47"/>
    <w:rsid w:val="00E37DAA"/>
    <w:rsid w:val="00E42A7E"/>
    <w:rsid w:val="00E4624C"/>
    <w:rsid w:val="00E86E39"/>
    <w:rsid w:val="00E9303C"/>
    <w:rsid w:val="00E9413E"/>
    <w:rsid w:val="00E96135"/>
    <w:rsid w:val="00EA11B9"/>
    <w:rsid w:val="00EA52B7"/>
    <w:rsid w:val="00EA7678"/>
    <w:rsid w:val="00EC1376"/>
    <w:rsid w:val="00EC2C12"/>
    <w:rsid w:val="00EE1BC5"/>
    <w:rsid w:val="00EF218C"/>
    <w:rsid w:val="00EF7A4C"/>
    <w:rsid w:val="00F26CF5"/>
    <w:rsid w:val="00F5688C"/>
    <w:rsid w:val="00F82397"/>
    <w:rsid w:val="00F949E8"/>
    <w:rsid w:val="00FB4820"/>
    <w:rsid w:val="00FD7ABF"/>
    <w:rsid w:val="00FE1F74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34C7-1BC4-40F2-97E2-5FC05202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2020-05-26T06:30:00Z</dcterms:created>
  <dcterms:modified xsi:type="dcterms:W3CDTF">2023-10-06T11:34:00Z</dcterms:modified>
</cp:coreProperties>
</file>