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D16" w:rsidRPr="00D96D16" w:rsidRDefault="00D96D16" w:rsidP="00D96D16">
      <w:pPr>
        <w:widowControl/>
        <w:autoSpaceDE/>
        <w:autoSpaceDN/>
        <w:spacing w:after="160" w:line="259" w:lineRule="auto"/>
        <w:jc w:val="right"/>
        <w:rPr>
          <w:rFonts w:eastAsia="Calibri"/>
          <w:b/>
          <w:bCs/>
          <w:sz w:val="24"/>
          <w:szCs w:val="24"/>
        </w:rPr>
      </w:pPr>
    </w:p>
    <w:p w:rsidR="00D96D16" w:rsidRPr="00D96D16" w:rsidRDefault="00200A8A" w:rsidP="00D96D16">
      <w:pPr>
        <w:widowControl/>
        <w:autoSpaceDE/>
        <w:autoSpaceDN/>
        <w:spacing w:after="160" w:line="259" w:lineRule="auto"/>
        <w:jc w:val="right"/>
        <w:rPr>
          <w:rFonts w:eastAsia="Calibri"/>
          <w:b/>
          <w:bCs/>
          <w:sz w:val="24"/>
          <w:szCs w:val="24"/>
        </w:rPr>
      </w:pPr>
      <w:r>
        <w:rPr>
          <w:rFonts w:eastAsia="Calibri"/>
          <w:b/>
          <w:bCs/>
          <w:sz w:val="24"/>
          <w:szCs w:val="24"/>
        </w:rPr>
        <w:t xml:space="preserve">Додаток </w:t>
      </w:r>
      <w:r w:rsidR="00D96D16" w:rsidRPr="00D96D16">
        <w:rPr>
          <w:rFonts w:eastAsia="Calibri"/>
          <w:b/>
          <w:bCs/>
          <w:sz w:val="24"/>
          <w:szCs w:val="24"/>
        </w:rPr>
        <w:t xml:space="preserve"> 2 до тендерної документації</w:t>
      </w:r>
    </w:p>
    <w:p w:rsidR="00D96D16" w:rsidRPr="00D96D16" w:rsidRDefault="00D96D16" w:rsidP="00D96D16">
      <w:pPr>
        <w:widowControl/>
        <w:autoSpaceDE/>
        <w:autoSpaceDN/>
        <w:spacing w:after="160" w:line="259" w:lineRule="auto"/>
        <w:jc w:val="center"/>
        <w:rPr>
          <w:rFonts w:eastAsia="Calibri"/>
          <w:b/>
          <w:bCs/>
          <w:sz w:val="24"/>
          <w:szCs w:val="24"/>
        </w:rPr>
      </w:pPr>
      <w:r w:rsidRPr="00D96D16">
        <w:rPr>
          <w:rFonts w:eastAsia="Calibri"/>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601" w:type="dxa"/>
        <w:tblLook w:val="04A0" w:firstRow="1" w:lastRow="0" w:firstColumn="1" w:lastColumn="0" w:noHBand="0" w:noVBand="1"/>
      </w:tblPr>
      <w:tblGrid>
        <w:gridCol w:w="563"/>
        <w:gridCol w:w="3548"/>
        <w:gridCol w:w="2977"/>
        <w:gridCol w:w="3686"/>
      </w:tblGrid>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vAlign w:val="center"/>
            <w:hideMark/>
          </w:tcPr>
          <w:p w:rsidR="00D96D16" w:rsidRPr="00D96D16" w:rsidRDefault="00D96D16" w:rsidP="00D96D16">
            <w:pPr>
              <w:widowControl/>
              <w:autoSpaceDE/>
              <w:autoSpaceDN/>
              <w:spacing w:after="160" w:line="259" w:lineRule="auto"/>
              <w:jc w:val="center"/>
              <w:rPr>
                <w:sz w:val="24"/>
                <w:szCs w:val="24"/>
                <w:lang w:eastAsia="ru-RU"/>
              </w:rPr>
            </w:pPr>
            <w:r w:rsidRPr="00D96D16">
              <w:rPr>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D96D16" w:rsidRPr="00D96D16" w:rsidRDefault="00D96D16" w:rsidP="00D96D16">
            <w:pPr>
              <w:widowControl/>
              <w:autoSpaceDE/>
              <w:autoSpaceDN/>
              <w:spacing w:after="160" w:line="259" w:lineRule="auto"/>
              <w:jc w:val="center"/>
              <w:rPr>
                <w:sz w:val="24"/>
                <w:szCs w:val="24"/>
                <w:lang w:eastAsia="ru-RU"/>
              </w:rPr>
            </w:pPr>
            <w:r w:rsidRPr="00D96D16">
              <w:rPr>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96D16" w:rsidRPr="00D96D16" w:rsidRDefault="00D96D16" w:rsidP="00D96D16">
            <w:pPr>
              <w:widowControl/>
              <w:autoSpaceDE/>
              <w:autoSpaceDN/>
              <w:spacing w:after="160" w:line="259" w:lineRule="auto"/>
              <w:jc w:val="center"/>
              <w:rPr>
                <w:b/>
                <w:bCs/>
                <w:sz w:val="24"/>
                <w:szCs w:val="24"/>
                <w:lang w:eastAsia="ru-RU"/>
              </w:rPr>
            </w:pPr>
            <w:r w:rsidRPr="00D96D16">
              <w:rPr>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96D16" w:rsidRPr="00D96D16" w:rsidRDefault="00D96D16" w:rsidP="00D96D16">
            <w:pPr>
              <w:widowControl/>
              <w:autoSpaceDE/>
              <w:autoSpaceDN/>
              <w:spacing w:after="160" w:line="259" w:lineRule="auto"/>
              <w:jc w:val="center"/>
              <w:rPr>
                <w:sz w:val="24"/>
                <w:szCs w:val="24"/>
                <w:lang w:eastAsia="ru-RU"/>
              </w:rPr>
            </w:pPr>
            <w:r w:rsidRPr="00D96D16">
              <w:rPr>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D96D16">
              <w:rPr>
                <w:b/>
                <w:bCs/>
                <w:sz w:val="24"/>
                <w:szCs w:val="24"/>
                <w:lang w:eastAsia="ru-RU"/>
              </w:rPr>
              <w:t>закупівель</w:t>
            </w:r>
            <w:proofErr w:type="spellEnd"/>
            <w:r w:rsidRPr="00D96D16">
              <w:rPr>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D96D16">
              <w:rPr>
                <w:b/>
                <w:bCs/>
                <w:sz w:val="24"/>
                <w:szCs w:val="24"/>
                <w:lang w:eastAsia="ru-RU"/>
              </w:rPr>
              <w:t>закупівель</w:t>
            </w:r>
            <w:proofErr w:type="spellEnd"/>
            <w:r w:rsidRPr="00D96D16">
              <w:rPr>
                <w:b/>
                <w:bCs/>
                <w:sz w:val="24"/>
                <w:szCs w:val="24"/>
                <w:lang w:eastAsia="ru-RU"/>
              </w:rPr>
              <w:t>:</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96D16">
              <w:rPr>
                <w:i/>
                <w:iCs/>
                <w:sz w:val="24"/>
                <w:szCs w:val="24"/>
                <w:shd w:val="clear" w:color="auto" w:fill="FFFFFF"/>
                <w:lang w:eastAsia="ru-RU"/>
              </w:rPr>
              <w:t>(</w:t>
            </w:r>
            <w:r w:rsidRPr="00D96D16">
              <w:rPr>
                <w:i/>
                <w:iCs/>
                <w:sz w:val="24"/>
                <w:szCs w:val="24"/>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96D16">
              <w:rPr>
                <w:sz w:val="24"/>
                <w:szCs w:val="24"/>
                <w:shd w:val="clear" w:color="auto" w:fill="FFFFFF"/>
                <w:lang w:eastAsia="ru-RU"/>
              </w:rPr>
              <w:t>закупівель</w:t>
            </w:r>
            <w:proofErr w:type="spellEnd"/>
            <w:r w:rsidRPr="00D96D16">
              <w:rPr>
                <w:sz w:val="24"/>
                <w:szCs w:val="24"/>
                <w:shd w:val="clear" w:color="auto" w:fill="FFFFFF"/>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відомості про юридичну особу, яка є учасником процедури закупівлі, </w:t>
            </w:r>
            <w:proofErr w:type="spellStart"/>
            <w:r w:rsidRPr="00D96D16">
              <w:rPr>
                <w:sz w:val="24"/>
                <w:szCs w:val="24"/>
                <w:shd w:val="clear" w:color="auto" w:fill="FFFFFF"/>
                <w:lang w:eastAsia="ru-RU"/>
              </w:rPr>
              <w:t>внесено</w:t>
            </w:r>
            <w:proofErr w:type="spellEnd"/>
            <w:r w:rsidRPr="00D96D16">
              <w:rPr>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D96D16">
              <w:rPr>
                <w:i/>
                <w:iCs/>
                <w:sz w:val="24"/>
                <w:szCs w:val="24"/>
                <w:shd w:val="clear" w:color="auto" w:fill="FFFFFF"/>
                <w:lang w:eastAsia="ru-RU"/>
              </w:rPr>
              <w:t>(</w:t>
            </w:r>
            <w:r w:rsidRPr="00D96D16">
              <w:rPr>
                <w:i/>
                <w:iCs/>
                <w:sz w:val="24"/>
                <w:szCs w:val="24"/>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96D16">
              <w:rPr>
                <w:i/>
                <w:iCs/>
                <w:sz w:val="24"/>
                <w:szCs w:val="24"/>
                <w:shd w:val="clear" w:color="auto" w:fill="FFFFFF"/>
                <w:lang w:eastAsia="ru-RU"/>
              </w:rPr>
              <w:t>(</w:t>
            </w:r>
            <w:r w:rsidRPr="00D96D16">
              <w:rPr>
                <w:i/>
                <w:iCs/>
                <w:sz w:val="24"/>
                <w:szCs w:val="24"/>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685CE9" w:rsidP="00D96D16">
            <w:pPr>
              <w:widowControl/>
              <w:autoSpaceDE/>
              <w:autoSpaceDN/>
              <w:spacing w:after="160" w:line="259" w:lineRule="auto"/>
              <w:jc w:val="both"/>
              <w:rPr>
                <w:sz w:val="24"/>
                <w:szCs w:val="24"/>
                <w:lang w:eastAsia="ru-RU"/>
              </w:rPr>
            </w:pPr>
            <w:r w:rsidRPr="00685CE9">
              <w:rPr>
                <w:sz w:val="24"/>
                <w:szCs w:val="24"/>
                <w:lang w:eastAsia="ru-RU"/>
              </w:rPr>
              <w:t>Переможець не надає підтвердження своєї відповідності.</w:t>
            </w:r>
            <w:bookmarkStart w:id="0" w:name="_GoBack"/>
            <w:bookmarkEnd w:id="0"/>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6D16">
              <w:rPr>
                <w:sz w:val="24"/>
                <w:szCs w:val="24"/>
                <w:shd w:val="clear" w:color="auto" w:fill="FFFFFF"/>
                <w:lang w:eastAsia="ru-RU"/>
              </w:rPr>
              <w:t>антиконкурентних</w:t>
            </w:r>
            <w:proofErr w:type="spellEnd"/>
            <w:r w:rsidRPr="00D96D16">
              <w:rPr>
                <w:sz w:val="24"/>
                <w:szCs w:val="24"/>
                <w:shd w:val="clear" w:color="auto" w:fill="FFFFFF"/>
                <w:lang w:eastAsia="ru-RU"/>
              </w:rPr>
              <w:t xml:space="preserve"> узгоджених дій, що стосуються спотворення результатів тендерів </w:t>
            </w:r>
            <w:r w:rsidRPr="00D96D16">
              <w:rPr>
                <w:i/>
                <w:iCs/>
                <w:sz w:val="24"/>
                <w:szCs w:val="24"/>
                <w:shd w:val="clear" w:color="auto" w:fill="FFFFFF"/>
                <w:lang w:eastAsia="ru-RU"/>
              </w:rPr>
              <w:t>(</w:t>
            </w:r>
            <w:r w:rsidRPr="00D96D16">
              <w:rPr>
                <w:i/>
                <w:iCs/>
                <w:sz w:val="24"/>
                <w:szCs w:val="24"/>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96D16">
              <w:rPr>
                <w:i/>
                <w:iCs/>
                <w:sz w:val="24"/>
                <w:szCs w:val="24"/>
                <w:shd w:val="clear" w:color="auto" w:fill="FFFFFF"/>
                <w:lang w:eastAsia="ru-RU"/>
              </w:rPr>
              <w:t>(</w:t>
            </w:r>
            <w:r w:rsidRPr="00D96D16">
              <w:rPr>
                <w:i/>
                <w:iCs/>
                <w:sz w:val="24"/>
                <w:szCs w:val="24"/>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96D16">
              <w:rPr>
                <w:i/>
                <w:iCs/>
                <w:sz w:val="24"/>
                <w:szCs w:val="24"/>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color w:val="000000"/>
                <w:sz w:val="24"/>
                <w:szCs w:val="24"/>
                <w:lang w:eastAsia="ru-RU"/>
              </w:rPr>
            </w:pPr>
            <w:r w:rsidRPr="00D96D16">
              <w:rPr>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96D16">
              <w:rPr>
                <w:i/>
                <w:iCs/>
                <w:color w:val="000000"/>
                <w:sz w:val="24"/>
                <w:szCs w:val="24"/>
                <w:shd w:val="clear" w:color="auto" w:fill="FFFFFF"/>
                <w:lang w:eastAsia="ru-RU"/>
              </w:rPr>
              <w:t>(</w:t>
            </w:r>
            <w:r w:rsidRPr="00D96D16">
              <w:rPr>
                <w:i/>
                <w:iCs/>
                <w:color w:val="000000"/>
                <w:sz w:val="24"/>
                <w:szCs w:val="24"/>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color w:val="000000"/>
                <w:sz w:val="24"/>
                <w:szCs w:val="24"/>
                <w:lang w:eastAsia="ru-RU"/>
              </w:rPr>
            </w:pPr>
            <w:r w:rsidRPr="00D96D16">
              <w:rPr>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96D16">
              <w:rPr>
                <w:color w:val="000000"/>
                <w:sz w:val="24"/>
                <w:szCs w:val="24"/>
                <w:lang w:eastAsia="ru-RU"/>
              </w:rPr>
              <w:t>закупівель</w:t>
            </w:r>
            <w:proofErr w:type="spellEnd"/>
            <w:r w:rsidRPr="00D96D16">
              <w:rPr>
                <w:color w:val="000000"/>
                <w:sz w:val="24"/>
                <w:szCs w:val="24"/>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color w:val="000000"/>
                <w:sz w:val="24"/>
                <w:szCs w:val="24"/>
                <w:lang w:eastAsia="ru-RU"/>
              </w:rPr>
            </w:pPr>
            <w:r w:rsidRPr="00D96D16">
              <w:rPr>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96D16">
              <w:rPr>
                <w:i/>
                <w:iCs/>
                <w:color w:val="000000"/>
                <w:sz w:val="24"/>
                <w:szCs w:val="24"/>
                <w:shd w:val="clear" w:color="auto" w:fill="FFFFFF"/>
                <w:lang w:eastAsia="ru-RU"/>
              </w:rPr>
              <w:t>(</w:t>
            </w:r>
            <w:r w:rsidRPr="00D96D16">
              <w:rPr>
                <w:i/>
                <w:iCs/>
                <w:color w:val="000000"/>
                <w:sz w:val="24"/>
                <w:szCs w:val="24"/>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color w:val="000000"/>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96D16">
              <w:rPr>
                <w:i/>
                <w:iCs/>
                <w:sz w:val="24"/>
                <w:szCs w:val="24"/>
                <w:shd w:val="clear" w:color="auto" w:fill="FFFFFF"/>
                <w:lang w:eastAsia="ru-RU"/>
              </w:rPr>
              <w:t>(</w:t>
            </w:r>
            <w:r w:rsidRPr="00D96D16">
              <w:rPr>
                <w:i/>
                <w:iCs/>
                <w:sz w:val="24"/>
                <w:szCs w:val="24"/>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shd w:val="clear" w:color="auto" w:fill="FFFFFF"/>
                <w:lang w:eastAsia="ru-RU"/>
              </w:rPr>
            </w:pPr>
            <w:r w:rsidRPr="00D96D16">
              <w:rPr>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96D16">
              <w:rPr>
                <w:i/>
                <w:iCs/>
                <w:sz w:val="24"/>
                <w:szCs w:val="24"/>
                <w:shd w:val="clear" w:color="auto" w:fill="FFFFFF"/>
                <w:lang w:eastAsia="ru-RU"/>
              </w:rPr>
              <w:t>(</w:t>
            </w:r>
            <w:r w:rsidRPr="00D96D16">
              <w:rPr>
                <w:i/>
                <w:iCs/>
                <w:sz w:val="24"/>
                <w:szCs w:val="24"/>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6D16" w:rsidRPr="00D96D16" w:rsidRDefault="00D96D16" w:rsidP="00D96D16">
            <w:pPr>
              <w:widowControl/>
              <w:autoSpaceDE/>
              <w:autoSpaceDN/>
              <w:spacing w:after="160" w:line="259" w:lineRule="auto"/>
              <w:jc w:val="both"/>
              <w:rPr>
                <w:i/>
                <w:iCs/>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r w:rsidRPr="00D96D16">
              <w:rPr>
                <w:i/>
                <w:iCs/>
                <w:sz w:val="24"/>
                <w:szCs w:val="24"/>
                <w:lang w:eastAsia="ru-RU"/>
              </w:rPr>
              <w:t xml:space="preserve"> </w:t>
            </w:r>
          </w:p>
          <w:p w:rsidR="00D96D16" w:rsidRPr="00D96D16" w:rsidRDefault="00D96D16" w:rsidP="00D96D16">
            <w:pPr>
              <w:widowControl/>
              <w:autoSpaceDE/>
              <w:autoSpaceDN/>
              <w:spacing w:after="160" w:line="259" w:lineRule="auto"/>
              <w:jc w:val="both"/>
              <w:rPr>
                <w:sz w:val="24"/>
                <w:szCs w:val="24"/>
                <w:lang w:eastAsia="ru-RU"/>
              </w:rPr>
            </w:pPr>
            <w:r w:rsidRPr="00D96D16">
              <w:rPr>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96D16" w:rsidRPr="00D96D16" w:rsidRDefault="00D96D16" w:rsidP="00D96D16">
            <w:pPr>
              <w:widowControl/>
              <w:autoSpaceDE/>
              <w:autoSpaceDN/>
              <w:spacing w:after="160" w:line="259" w:lineRule="auto"/>
              <w:jc w:val="both"/>
              <w:rPr>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color w:val="FF0000"/>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учасник процедури закупівлі або кінцевий </w:t>
            </w:r>
            <w:proofErr w:type="spellStart"/>
            <w:r w:rsidRPr="00D96D16">
              <w:rPr>
                <w:sz w:val="24"/>
                <w:szCs w:val="24"/>
                <w:shd w:val="clear" w:color="auto" w:fill="FFFFFF"/>
                <w:lang w:eastAsia="ru-RU"/>
              </w:rPr>
              <w:t>бенефіціарний</w:t>
            </w:r>
            <w:proofErr w:type="spellEnd"/>
            <w:r w:rsidRPr="00D96D16">
              <w:rPr>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D96D16">
              <w:rPr>
                <w:sz w:val="24"/>
                <w:szCs w:val="24"/>
                <w:shd w:val="clear" w:color="auto" w:fill="FFFFFF"/>
                <w:lang w:eastAsia="ru-RU"/>
              </w:rPr>
              <w:t>закупівель</w:t>
            </w:r>
            <w:proofErr w:type="spellEnd"/>
            <w:r w:rsidRPr="00D96D16">
              <w:rPr>
                <w:sz w:val="24"/>
                <w:szCs w:val="24"/>
                <w:shd w:val="clear" w:color="auto" w:fill="FFFFFF"/>
                <w:lang w:eastAsia="ru-RU"/>
              </w:rPr>
              <w:t xml:space="preserve"> товарів, робіт і послуг згідно із Законом України “Про санкції” </w:t>
            </w:r>
            <w:r w:rsidRPr="00D96D16">
              <w:rPr>
                <w:i/>
                <w:iCs/>
                <w:sz w:val="24"/>
                <w:szCs w:val="24"/>
                <w:shd w:val="clear" w:color="auto" w:fill="FFFFFF"/>
                <w:lang w:eastAsia="ru-RU"/>
              </w:rPr>
              <w:t>(</w:t>
            </w:r>
            <w:r w:rsidRPr="00D96D16">
              <w:rPr>
                <w:i/>
                <w:iCs/>
                <w:sz w:val="24"/>
                <w:szCs w:val="24"/>
                <w:lang w:eastAsia="ru-RU"/>
              </w:rPr>
              <w:t xml:space="preserve">підпункт 11 пункту 47 </w:t>
            </w:r>
            <w:r w:rsidRPr="00D96D16">
              <w:rPr>
                <w:i/>
                <w:iCs/>
                <w:sz w:val="24"/>
                <w:szCs w:val="24"/>
                <w:lang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 Якщо під час подання тендерної пропозиції учасника буде відсутня технічна </w:t>
            </w:r>
            <w:r w:rsidRPr="00D96D16">
              <w:rPr>
                <w:sz w:val="24"/>
                <w:szCs w:val="24"/>
                <w:lang w:eastAsia="ru-RU"/>
              </w:rPr>
              <w:lastRenderedPageBreak/>
              <w:t xml:space="preserve">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D96D16">
              <w:rPr>
                <w:sz w:val="24"/>
                <w:szCs w:val="24"/>
                <w:lang w:eastAsia="ru-RU"/>
              </w:rPr>
              <w:t>бенефіціарний</w:t>
            </w:r>
            <w:proofErr w:type="spellEnd"/>
            <w:r w:rsidRPr="00D96D16">
              <w:rPr>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D96D16">
              <w:rPr>
                <w:sz w:val="24"/>
                <w:szCs w:val="24"/>
                <w:lang w:eastAsia="ru-RU"/>
              </w:rPr>
              <w:t>закупівель</w:t>
            </w:r>
            <w:proofErr w:type="spellEnd"/>
            <w:r w:rsidRPr="00D96D16">
              <w:rPr>
                <w:sz w:val="24"/>
                <w:szCs w:val="24"/>
                <w:lang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96D16">
              <w:rPr>
                <w:i/>
                <w:iCs/>
                <w:sz w:val="24"/>
                <w:szCs w:val="24"/>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i/>
                <w:iCs/>
                <w:sz w:val="24"/>
                <w:szCs w:val="24"/>
                <w:lang w:eastAsia="ru-RU"/>
              </w:rPr>
            </w:pPr>
            <w:r w:rsidRPr="00D96D16">
              <w:rPr>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D96D16">
              <w:rPr>
                <w:sz w:val="24"/>
                <w:szCs w:val="24"/>
                <w:lang w:eastAsia="ru-RU"/>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6D16">
              <w:rPr>
                <w:i/>
                <w:iCs/>
                <w:sz w:val="24"/>
                <w:szCs w:val="24"/>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rPr>
            </w:pPr>
            <w:r w:rsidRPr="00D96D16">
              <w:rPr>
                <w:sz w:val="24"/>
                <w:szCs w:val="24"/>
                <w:lang w:eastAsia="ru-RU"/>
              </w:rPr>
              <w:lastRenderedPageBreak/>
              <w:t xml:space="preserve">Учасник процедури закупівлі має </w:t>
            </w:r>
            <w:r w:rsidRPr="00D96D16">
              <w:rPr>
                <w:sz w:val="24"/>
                <w:szCs w:val="24"/>
              </w:rPr>
              <w:t>надати:</w:t>
            </w:r>
          </w:p>
          <w:p w:rsidR="00D96D16" w:rsidRPr="00D96D16" w:rsidRDefault="00D96D16" w:rsidP="00D96D16">
            <w:pPr>
              <w:widowControl/>
              <w:numPr>
                <w:ilvl w:val="0"/>
                <w:numId w:val="3"/>
              </w:numPr>
              <w:autoSpaceDE/>
              <w:autoSpaceDN/>
              <w:spacing w:after="160" w:line="256" w:lineRule="auto"/>
              <w:ind w:left="410"/>
              <w:contextualSpacing/>
              <w:jc w:val="both"/>
              <w:rPr>
                <w:sz w:val="24"/>
                <w:szCs w:val="24"/>
              </w:rPr>
            </w:pPr>
            <w:r w:rsidRPr="00D96D16">
              <w:rPr>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w:t>
            </w:r>
            <w:r w:rsidRPr="00D96D16">
              <w:rPr>
                <w:sz w:val="24"/>
                <w:szCs w:val="24"/>
              </w:rPr>
              <w:lastRenderedPageBreak/>
              <w:t>– протягом трьох років з дати дострокового розірвання такого договору;</w:t>
            </w:r>
          </w:p>
          <w:p w:rsidR="00D96D16" w:rsidRPr="00D96D16" w:rsidRDefault="00D96D16" w:rsidP="00D96D16">
            <w:pPr>
              <w:widowControl/>
              <w:autoSpaceDE/>
              <w:autoSpaceDN/>
              <w:spacing w:after="160" w:line="259" w:lineRule="auto"/>
              <w:ind w:left="50"/>
              <w:jc w:val="both"/>
              <w:rPr>
                <w:sz w:val="24"/>
                <w:szCs w:val="24"/>
              </w:rPr>
            </w:pPr>
            <w:r w:rsidRPr="00D96D16">
              <w:rPr>
                <w:sz w:val="24"/>
                <w:szCs w:val="24"/>
              </w:rPr>
              <w:t xml:space="preserve">або </w:t>
            </w:r>
          </w:p>
          <w:p w:rsidR="00D96D16" w:rsidRPr="00D96D16" w:rsidRDefault="00D96D16" w:rsidP="00D96D16">
            <w:pPr>
              <w:widowControl/>
              <w:numPr>
                <w:ilvl w:val="0"/>
                <w:numId w:val="3"/>
              </w:numPr>
              <w:autoSpaceDE/>
              <w:autoSpaceDN/>
              <w:spacing w:after="160" w:line="256" w:lineRule="auto"/>
              <w:ind w:left="410"/>
              <w:contextualSpacing/>
              <w:jc w:val="both"/>
              <w:rPr>
                <w:sz w:val="24"/>
                <w:szCs w:val="24"/>
              </w:rPr>
            </w:pPr>
            <w:r w:rsidRPr="00D96D16">
              <w:rPr>
                <w:sz w:val="24"/>
                <w:szCs w:val="24"/>
              </w:rPr>
              <w:t xml:space="preserve">учасник процедури закупівлі, що перебуває в обставинах, зазначених в абзаці 14 пункту 47 </w:t>
            </w:r>
            <w:proofErr w:type="spellStart"/>
            <w:r w:rsidRPr="00D96D16">
              <w:rPr>
                <w:sz w:val="24"/>
                <w:szCs w:val="24"/>
              </w:rPr>
              <w:t>Особливсотей</w:t>
            </w:r>
            <w:proofErr w:type="spellEnd"/>
            <w:r w:rsidRPr="00D96D16">
              <w:rPr>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96D16" w:rsidRPr="00D96D16" w:rsidRDefault="00D96D16" w:rsidP="00D96D16">
            <w:pPr>
              <w:widowControl/>
              <w:autoSpaceDE/>
              <w:autoSpaceDN/>
              <w:spacing w:after="160" w:line="259" w:lineRule="auto"/>
              <w:rPr>
                <w:sz w:val="24"/>
                <w:szCs w:val="24"/>
                <w:lang w:eastAsia="ru-RU"/>
              </w:rPr>
            </w:pPr>
          </w:p>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або</w:t>
            </w:r>
          </w:p>
          <w:p w:rsidR="00D96D16" w:rsidRPr="00D96D16" w:rsidRDefault="00D96D16" w:rsidP="00D96D16">
            <w:pPr>
              <w:widowControl/>
              <w:autoSpaceDE/>
              <w:autoSpaceDN/>
              <w:spacing w:after="160" w:line="259" w:lineRule="auto"/>
              <w:rPr>
                <w:sz w:val="24"/>
                <w:szCs w:val="24"/>
                <w:lang w:eastAsia="ru-RU"/>
              </w:rPr>
            </w:pPr>
          </w:p>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96D16" w:rsidRPr="00D96D16" w:rsidRDefault="00D96D16" w:rsidP="00D96D16">
      <w:pPr>
        <w:widowControl/>
        <w:autoSpaceDE/>
        <w:autoSpaceDN/>
        <w:spacing w:after="160" w:line="259" w:lineRule="auto"/>
        <w:jc w:val="center"/>
        <w:rPr>
          <w:rFonts w:eastAsia="Calibri"/>
          <w:b/>
          <w:bCs/>
          <w:sz w:val="24"/>
          <w:szCs w:val="24"/>
        </w:rPr>
      </w:pPr>
    </w:p>
    <w:p w:rsidR="00D96D16" w:rsidRPr="00D96D16" w:rsidRDefault="00D96D16" w:rsidP="00D96D16">
      <w:pPr>
        <w:widowControl/>
        <w:autoSpaceDE/>
        <w:autoSpaceDN/>
        <w:spacing w:after="160" w:line="259" w:lineRule="auto"/>
        <w:jc w:val="both"/>
        <w:rPr>
          <w:rFonts w:eastAsia="Calibri"/>
          <w:sz w:val="24"/>
          <w:szCs w:val="24"/>
        </w:rPr>
      </w:pPr>
      <w:r w:rsidRPr="00D96D16">
        <w:rPr>
          <w:rFonts w:eastAsia="Calibri"/>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96D16" w:rsidRPr="00D96D16" w:rsidRDefault="00D96D16" w:rsidP="00D96D16">
      <w:pPr>
        <w:widowControl/>
        <w:autoSpaceDE/>
        <w:autoSpaceDN/>
        <w:spacing w:after="160" w:line="259" w:lineRule="auto"/>
        <w:jc w:val="both"/>
        <w:rPr>
          <w:rFonts w:eastAsia="Calibri"/>
          <w:sz w:val="24"/>
          <w:szCs w:val="24"/>
        </w:rPr>
      </w:pPr>
      <w:r w:rsidRPr="00D96D16">
        <w:rPr>
          <w:rFonts w:eastAsia="Calibri"/>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96D16" w:rsidRPr="00D96D16" w:rsidRDefault="00D96D16" w:rsidP="00D96D16">
      <w:pPr>
        <w:widowControl/>
        <w:autoSpaceDE/>
        <w:autoSpaceDN/>
        <w:spacing w:after="160" w:line="259" w:lineRule="auto"/>
        <w:jc w:val="both"/>
        <w:rPr>
          <w:rFonts w:eastAsia="Calibri"/>
          <w:b/>
          <w:bCs/>
          <w:sz w:val="24"/>
          <w:szCs w:val="24"/>
        </w:rPr>
      </w:pPr>
      <w:r w:rsidRPr="00D96D16">
        <w:rPr>
          <w:rFonts w:eastAsia="Calibri"/>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16E6E" w:rsidRPr="00D96D16" w:rsidRDefault="00216E6E" w:rsidP="00D96D16"/>
    <w:sectPr w:rsidR="00216E6E" w:rsidRPr="00D96D16">
      <w:pgSz w:w="11910" w:h="16840"/>
      <w:pgMar w:top="820" w:right="580" w:bottom="280" w:left="11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00000000"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1F2C6C"/>
    <w:multiLevelType w:val="hybridMultilevel"/>
    <w:tmpl w:val="C0561A70"/>
    <w:lvl w:ilvl="0" w:tplc="939427DE">
      <w:start w:val="1"/>
      <w:numFmt w:val="decimal"/>
      <w:lvlText w:val="%1."/>
      <w:lvlJc w:val="left"/>
      <w:pPr>
        <w:ind w:left="316" w:hanging="279"/>
        <w:jc w:val="left"/>
      </w:pPr>
      <w:rPr>
        <w:rFonts w:hint="default"/>
        <w:b/>
        <w:bCs/>
        <w:w w:val="100"/>
        <w:lang w:val="uk-UA" w:eastAsia="en-US" w:bidi="ar-SA"/>
      </w:rPr>
    </w:lvl>
    <w:lvl w:ilvl="1" w:tplc="B24CA054">
      <w:numFmt w:val="bullet"/>
      <w:lvlText w:val="•"/>
      <w:lvlJc w:val="left"/>
      <w:pPr>
        <w:ind w:left="1310" w:hanging="279"/>
      </w:pPr>
      <w:rPr>
        <w:rFonts w:hint="default"/>
        <w:lang w:val="uk-UA" w:eastAsia="en-US" w:bidi="ar-SA"/>
      </w:rPr>
    </w:lvl>
    <w:lvl w:ilvl="2" w:tplc="2C5C18A2">
      <w:numFmt w:val="bullet"/>
      <w:lvlText w:val="•"/>
      <w:lvlJc w:val="left"/>
      <w:pPr>
        <w:ind w:left="2301" w:hanging="279"/>
      </w:pPr>
      <w:rPr>
        <w:rFonts w:hint="default"/>
        <w:lang w:val="uk-UA" w:eastAsia="en-US" w:bidi="ar-SA"/>
      </w:rPr>
    </w:lvl>
    <w:lvl w:ilvl="3" w:tplc="60147220">
      <w:numFmt w:val="bullet"/>
      <w:lvlText w:val="•"/>
      <w:lvlJc w:val="left"/>
      <w:pPr>
        <w:ind w:left="3292" w:hanging="279"/>
      </w:pPr>
      <w:rPr>
        <w:rFonts w:hint="default"/>
        <w:lang w:val="uk-UA" w:eastAsia="en-US" w:bidi="ar-SA"/>
      </w:rPr>
    </w:lvl>
    <w:lvl w:ilvl="4" w:tplc="A7B8B8AA">
      <w:numFmt w:val="bullet"/>
      <w:lvlText w:val="•"/>
      <w:lvlJc w:val="left"/>
      <w:pPr>
        <w:ind w:left="4283" w:hanging="279"/>
      </w:pPr>
      <w:rPr>
        <w:rFonts w:hint="default"/>
        <w:lang w:val="uk-UA" w:eastAsia="en-US" w:bidi="ar-SA"/>
      </w:rPr>
    </w:lvl>
    <w:lvl w:ilvl="5" w:tplc="065C3064">
      <w:numFmt w:val="bullet"/>
      <w:lvlText w:val="•"/>
      <w:lvlJc w:val="left"/>
      <w:pPr>
        <w:ind w:left="5274" w:hanging="279"/>
      </w:pPr>
      <w:rPr>
        <w:rFonts w:hint="default"/>
        <w:lang w:val="uk-UA" w:eastAsia="en-US" w:bidi="ar-SA"/>
      </w:rPr>
    </w:lvl>
    <w:lvl w:ilvl="6" w:tplc="C76AC0DA">
      <w:numFmt w:val="bullet"/>
      <w:lvlText w:val="•"/>
      <w:lvlJc w:val="left"/>
      <w:pPr>
        <w:ind w:left="6265" w:hanging="279"/>
      </w:pPr>
      <w:rPr>
        <w:rFonts w:hint="default"/>
        <w:lang w:val="uk-UA" w:eastAsia="en-US" w:bidi="ar-SA"/>
      </w:rPr>
    </w:lvl>
    <w:lvl w:ilvl="7" w:tplc="2708E86A">
      <w:numFmt w:val="bullet"/>
      <w:lvlText w:val="•"/>
      <w:lvlJc w:val="left"/>
      <w:pPr>
        <w:ind w:left="7256" w:hanging="279"/>
      </w:pPr>
      <w:rPr>
        <w:rFonts w:hint="default"/>
        <w:lang w:val="uk-UA" w:eastAsia="en-US" w:bidi="ar-SA"/>
      </w:rPr>
    </w:lvl>
    <w:lvl w:ilvl="8" w:tplc="AD6A5018">
      <w:numFmt w:val="bullet"/>
      <w:lvlText w:val="•"/>
      <w:lvlJc w:val="left"/>
      <w:pPr>
        <w:ind w:left="8247" w:hanging="279"/>
      </w:pPr>
      <w:rPr>
        <w:rFonts w:hint="default"/>
        <w:lang w:val="uk-UA" w:eastAsia="en-US" w:bidi="ar-SA"/>
      </w:rPr>
    </w:lvl>
  </w:abstractNum>
  <w:abstractNum w:abstractNumId="2" w15:restartNumberingAfterBreak="0">
    <w:nsid w:val="72A738D0"/>
    <w:multiLevelType w:val="hybridMultilevel"/>
    <w:tmpl w:val="891681E8"/>
    <w:lvl w:ilvl="0" w:tplc="2DB6E8A2">
      <w:start w:val="1"/>
      <w:numFmt w:val="decimal"/>
      <w:lvlText w:val="%1."/>
      <w:lvlJc w:val="left"/>
      <w:pPr>
        <w:ind w:left="105" w:hanging="250"/>
        <w:jc w:val="left"/>
      </w:pPr>
      <w:rPr>
        <w:rFonts w:ascii="Times New Roman" w:eastAsia="Times New Roman" w:hAnsi="Times New Roman" w:cs="Times New Roman" w:hint="default"/>
        <w:b/>
        <w:bCs/>
        <w:w w:val="100"/>
        <w:sz w:val="20"/>
        <w:szCs w:val="20"/>
        <w:lang w:val="uk-UA" w:eastAsia="en-US" w:bidi="ar-SA"/>
      </w:rPr>
    </w:lvl>
    <w:lvl w:ilvl="1" w:tplc="0C22D3BE">
      <w:numFmt w:val="bullet"/>
      <w:lvlText w:val="•"/>
      <w:lvlJc w:val="left"/>
      <w:pPr>
        <w:ind w:left="638" w:hanging="250"/>
      </w:pPr>
      <w:rPr>
        <w:rFonts w:hint="default"/>
        <w:lang w:val="uk-UA" w:eastAsia="en-US" w:bidi="ar-SA"/>
      </w:rPr>
    </w:lvl>
    <w:lvl w:ilvl="2" w:tplc="9A78922C">
      <w:numFmt w:val="bullet"/>
      <w:lvlText w:val="•"/>
      <w:lvlJc w:val="left"/>
      <w:pPr>
        <w:ind w:left="1177" w:hanging="250"/>
      </w:pPr>
      <w:rPr>
        <w:rFonts w:hint="default"/>
        <w:lang w:val="uk-UA" w:eastAsia="en-US" w:bidi="ar-SA"/>
      </w:rPr>
    </w:lvl>
    <w:lvl w:ilvl="3" w:tplc="2476269C">
      <w:numFmt w:val="bullet"/>
      <w:lvlText w:val="•"/>
      <w:lvlJc w:val="left"/>
      <w:pPr>
        <w:ind w:left="1716" w:hanging="250"/>
      </w:pPr>
      <w:rPr>
        <w:rFonts w:hint="default"/>
        <w:lang w:val="uk-UA" w:eastAsia="en-US" w:bidi="ar-SA"/>
      </w:rPr>
    </w:lvl>
    <w:lvl w:ilvl="4" w:tplc="A858E722">
      <w:numFmt w:val="bullet"/>
      <w:lvlText w:val="•"/>
      <w:lvlJc w:val="left"/>
      <w:pPr>
        <w:ind w:left="2255" w:hanging="250"/>
      </w:pPr>
      <w:rPr>
        <w:rFonts w:hint="default"/>
        <w:lang w:val="uk-UA" w:eastAsia="en-US" w:bidi="ar-SA"/>
      </w:rPr>
    </w:lvl>
    <w:lvl w:ilvl="5" w:tplc="9036F4FE">
      <w:numFmt w:val="bullet"/>
      <w:lvlText w:val="•"/>
      <w:lvlJc w:val="left"/>
      <w:pPr>
        <w:ind w:left="2794" w:hanging="250"/>
      </w:pPr>
      <w:rPr>
        <w:rFonts w:hint="default"/>
        <w:lang w:val="uk-UA" w:eastAsia="en-US" w:bidi="ar-SA"/>
      </w:rPr>
    </w:lvl>
    <w:lvl w:ilvl="6" w:tplc="64E63C2E">
      <w:numFmt w:val="bullet"/>
      <w:lvlText w:val="•"/>
      <w:lvlJc w:val="left"/>
      <w:pPr>
        <w:ind w:left="3332" w:hanging="250"/>
      </w:pPr>
      <w:rPr>
        <w:rFonts w:hint="default"/>
        <w:lang w:val="uk-UA" w:eastAsia="en-US" w:bidi="ar-SA"/>
      </w:rPr>
    </w:lvl>
    <w:lvl w:ilvl="7" w:tplc="3E105916">
      <w:numFmt w:val="bullet"/>
      <w:lvlText w:val="•"/>
      <w:lvlJc w:val="left"/>
      <w:pPr>
        <w:ind w:left="3871" w:hanging="250"/>
      </w:pPr>
      <w:rPr>
        <w:rFonts w:hint="default"/>
        <w:lang w:val="uk-UA" w:eastAsia="en-US" w:bidi="ar-SA"/>
      </w:rPr>
    </w:lvl>
    <w:lvl w:ilvl="8" w:tplc="03AA0A78">
      <w:numFmt w:val="bullet"/>
      <w:lvlText w:val="•"/>
      <w:lvlJc w:val="left"/>
      <w:pPr>
        <w:ind w:left="4410" w:hanging="250"/>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16E6E"/>
    <w:rsid w:val="00154A08"/>
    <w:rsid w:val="00200A8A"/>
    <w:rsid w:val="00216E6E"/>
    <w:rsid w:val="00685CE9"/>
    <w:rsid w:val="009737A5"/>
    <w:rsid w:val="00CE2180"/>
    <w:rsid w:val="00D96D16"/>
    <w:rsid w:val="00DB4073"/>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589A6-4557-4A82-9502-5A19C91B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398"/>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18"/>
      <w:szCs w:val="18"/>
    </w:rPr>
  </w:style>
  <w:style w:type="paragraph" w:styleId="a4">
    <w:name w:val="List Paragraph"/>
    <w:basedOn w:val="a"/>
    <w:uiPriority w:val="1"/>
    <w:qFormat/>
    <w:pPr>
      <w:spacing w:before="1"/>
      <w:ind w:left="316" w:right="256"/>
      <w:jc w:val="both"/>
    </w:pPr>
  </w:style>
  <w:style w:type="paragraph" w:customStyle="1" w:styleId="TableParagraph">
    <w:name w:val="Table Paragraph"/>
    <w:basedOn w:val="a"/>
    <w:uiPriority w:val="1"/>
    <w:qFormat/>
    <w:pPr>
      <w:ind w:left="10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8275</Words>
  <Characters>4717</Characters>
  <Application>Microsoft Office Word</Application>
  <DocSecurity>0</DocSecurity>
  <Lines>39</Lines>
  <Paragraphs>25</Paragraphs>
  <ScaleCrop>false</ScaleCrop>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 3</cp:lastModifiedBy>
  <cp:revision>10</cp:revision>
  <dcterms:created xsi:type="dcterms:W3CDTF">2022-11-04T09:31:00Z</dcterms:created>
  <dcterms:modified xsi:type="dcterms:W3CDTF">2023-09-14T10:14:00Z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