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A2" w:rsidRDefault="008A74A2" w:rsidP="008A74A2">
      <w:pPr>
        <w:ind w:left="4956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8A74A2" w:rsidRDefault="008A74A2" w:rsidP="008A74A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p w:rsidR="008A74A2" w:rsidRPr="00D11D99" w:rsidRDefault="008A74A2" w:rsidP="008A74A2">
      <w:pPr>
        <w:spacing w:before="120" w:after="120"/>
        <w:ind w:firstLine="567"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документи, що підтверджують відсутність підстав, зазначених у </w:t>
      </w:r>
      <w:hyperlink r:id="rId5" w:anchor="n401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підпунктах 3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 </w:t>
      </w:r>
      <w:hyperlink r:id="rId6" w:anchor="n403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5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 </w:t>
      </w:r>
      <w:hyperlink r:id="rId7" w:anchor="n404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6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 і </w:t>
      </w:r>
      <w:hyperlink r:id="rId8" w:anchor="n410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12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 та в </w:t>
      </w:r>
      <w:hyperlink r:id="rId9" w:anchor="n411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абзаці чотирнадцятому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  пункту 47 Особливостей. </w:t>
      </w:r>
    </w:p>
    <w:p w:rsidR="008A74A2" w:rsidRPr="00D11D99" w:rsidRDefault="008A74A2" w:rsidP="008A74A2">
      <w:pPr>
        <w:spacing w:before="120" w:after="120"/>
        <w:ind w:firstLine="567"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 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Законом України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 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8A74A2" w:rsidRPr="00D11D99" w:rsidRDefault="008A74A2" w:rsidP="008A74A2">
      <w:pPr>
        <w:spacing w:before="120" w:after="120"/>
        <w:ind w:firstLine="567"/>
        <w:jc w:val="both"/>
        <w:rPr>
          <w:lang w:val="uk-UA"/>
        </w:rPr>
      </w:pPr>
      <w:bookmarkStart w:id="0" w:name="n413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Учасник процедури закупівлі підтверджує відсутність підстав, зазначених в цьому пункті (крім </w:t>
      </w:r>
      <w:hyperlink r:id="rId11" w:anchor="n411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абзацу чотирнадцятого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 цього пункту), шляхом самостійного декларування відсутності таких підстав 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під час подання тендерної пропозиції.</w:t>
      </w:r>
    </w:p>
    <w:p w:rsidR="008A74A2" w:rsidRPr="00D11D99" w:rsidRDefault="008A74A2" w:rsidP="008A74A2">
      <w:pPr>
        <w:spacing w:before="120" w:after="120"/>
        <w:ind w:firstLine="567"/>
        <w:jc w:val="both"/>
        <w:rPr>
          <w:lang w:val="uk-UA"/>
        </w:rPr>
      </w:pPr>
      <w:bookmarkStart w:id="1" w:name="n414"/>
      <w:bookmarkEnd w:id="1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будь-яких документів, що підтверджують відсутність підстав, визначених у пункті 47 Особливостей (крім </w:t>
      </w:r>
      <w:hyperlink r:id="rId12" w:anchor="n411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абзацу чотирнадцятого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 цього пункту), крім самостійного декларування відсутності таких підстав учасником процедури закупівлі відповідно до </w:t>
      </w:r>
      <w:hyperlink r:id="rId13" w:anchor="n413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абзацу шістнадцятого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  пункту 47 Особливостей.</w:t>
      </w:r>
    </w:p>
    <w:p w:rsidR="008A74A2" w:rsidRDefault="008A74A2" w:rsidP="008A74A2">
      <w:pPr>
        <w:pStyle w:val="rvps2"/>
        <w:shd w:val="clear" w:color="auto" w:fill="FFFFFF"/>
        <w:spacing w:before="0" w:after="150"/>
        <w:ind w:firstLine="450"/>
        <w:jc w:val="both"/>
      </w:pPr>
      <w:bookmarkStart w:id="2" w:name="n415"/>
      <w:bookmarkEnd w:id="2"/>
      <w:r>
        <w:t>Підстави для відмови в участі у відкритих торгах, встановлені </w:t>
      </w:r>
      <w:hyperlink r:id="rId14" w:anchor="n159" w:history="1">
        <w:r>
          <w:rPr>
            <w:rStyle w:val="a3"/>
          </w:rPr>
          <w:t>пунктом 4</w:t>
        </w:r>
      </w:hyperlink>
      <w:r>
        <w:rPr>
          <w:rStyle w:val="a3"/>
        </w:rPr>
        <w:t>7</w:t>
      </w:r>
      <w:r>
        <w:t> цих Особливостей, та інформація про спосіб підтвердження відсутності підстав для відхилення.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цих Особливостей, у разі, коли така інформація є публічною, що оприлюднена у формі відкритих даних згідно із </w:t>
      </w:r>
      <w:hyperlink r:id="rId15" w:history="1">
        <w:r>
          <w:rPr>
            <w:rStyle w:val="a3"/>
          </w:rPr>
          <w:t>Законом України</w:t>
        </w:r>
      </w:hyperlink>
      <w:r>
        <w:t xml:space="preserve"> “Про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</w:t>
      </w:r>
      <w:proofErr w:type="spellStart"/>
      <w:r>
        <w:t>закупівель</w:t>
      </w:r>
      <w:proofErr w:type="spellEnd"/>
      <w:r>
        <w:t xml:space="preserve"> шляхом обміну інформацією з іншими державними системами та реєстрами.</w:t>
      </w:r>
    </w:p>
    <w:p w:rsidR="008A74A2" w:rsidRDefault="008A74A2" w:rsidP="008A74A2">
      <w:pPr>
        <w:pStyle w:val="rvps2"/>
        <w:shd w:val="clear" w:color="auto" w:fill="FFFFFF"/>
        <w:spacing w:before="0" w:after="150"/>
        <w:ind w:firstLine="450"/>
        <w:jc w:val="both"/>
      </w:pPr>
      <w:bookmarkStart w:id="3" w:name="n388"/>
      <w:bookmarkStart w:id="4" w:name="n383"/>
      <w:bookmarkEnd w:id="3"/>
      <w:bookmarkEnd w:id="4"/>
      <w: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 </w:t>
      </w:r>
      <w:r>
        <w:rPr>
          <w:rStyle w:val="a3"/>
        </w:rPr>
        <w:t>пунктом 47</w:t>
      </w:r>
      <w:r>
        <w:t> цих Особливостей.</w:t>
      </w:r>
    </w:p>
    <w:p w:rsidR="008A74A2" w:rsidRDefault="008A74A2" w:rsidP="008A74A2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4A2" w:rsidRDefault="008A74A2" w:rsidP="008A74A2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8A74A2" w:rsidRDefault="008A74A2" w:rsidP="008A74A2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8A74A2" w:rsidRDefault="008A74A2" w:rsidP="008A74A2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3671DE" w:rsidRDefault="003671DE" w:rsidP="008A74A2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3671DE" w:rsidRDefault="003671DE" w:rsidP="008A74A2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3671DE" w:rsidRDefault="003671DE" w:rsidP="008A74A2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3671DE" w:rsidRDefault="003671DE" w:rsidP="008A74A2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8A74A2" w:rsidRDefault="008A74A2" w:rsidP="008A74A2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4224"/>
        <w:gridCol w:w="2722"/>
        <w:gridCol w:w="2551"/>
      </w:tblGrid>
      <w:tr w:rsidR="008A74A2" w:rsidTr="008A74A2">
        <w:trPr>
          <w:trHeight w:val="1134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A2" w:rsidRDefault="008A74A2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8A74A2" w:rsidRDefault="008A74A2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A2" w:rsidRDefault="008A74A2" w:rsidP="00D577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процедурі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A2" w:rsidRDefault="008A74A2" w:rsidP="00D577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A2" w:rsidRDefault="008A74A2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переможця</w:t>
            </w:r>
            <w:proofErr w:type="spellEnd"/>
          </w:p>
          <w:p w:rsidR="008A74A2" w:rsidRDefault="008A74A2" w:rsidP="00D57771">
            <w:pPr>
              <w:spacing w:after="0"/>
              <w:ind w:left="-142" w:right="-157"/>
              <w:jc w:val="center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перевищує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чотири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замовнику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A74A2" w:rsidTr="00577538">
        <w:trPr>
          <w:trHeight w:val="3419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Default="008A74A2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Default="008A74A2" w:rsidP="00D57771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амовник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незаперечні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докази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того,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пропонує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погоджується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прямо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опосередковано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будь-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службовій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посадовій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замовника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державного органу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винагороду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будь-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пропозиція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наймання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роботу,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цінна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річ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з метою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вплинути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1 п.47 Особливостей)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A2" w:rsidRDefault="008A74A2" w:rsidP="00577538">
            <w:pPr>
              <w:spacing w:after="0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вимагається</w:t>
            </w:r>
            <w:proofErr w:type="spellEnd"/>
          </w:p>
          <w:p w:rsidR="008A74A2" w:rsidRDefault="008A74A2" w:rsidP="005775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A2" w:rsidRDefault="008A74A2" w:rsidP="00577538">
            <w:pPr>
              <w:spacing w:after="0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вимагається</w:t>
            </w:r>
            <w:proofErr w:type="spellEnd"/>
          </w:p>
          <w:p w:rsidR="008A74A2" w:rsidRDefault="008A74A2" w:rsidP="005775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4A2" w:rsidRPr="008A74A2" w:rsidTr="008A74A2">
        <w:trPr>
          <w:trHeight w:val="2854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Default="008A74A2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8A74A2" w:rsidRPr="008A74A2" w:rsidRDefault="008A74A2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Default="008A74A2" w:rsidP="00D5777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ідомості про юридичну особу, яка є учасником процедури закупівлі, </w:t>
            </w:r>
            <w:proofErr w:type="spellStart"/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внесено</w:t>
            </w:r>
            <w:proofErr w:type="spellEnd"/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2 п.47 Особливостей)</w:t>
            </w:r>
          </w:p>
          <w:p w:rsidR="008A74A2" w:rsidRDefault="008A74A2" w:rsidP="00D5777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74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8A74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8A74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</w:p>
          <w:p w:rsidR="008A74A2" w:rsidRPr="008A74A2" w:rsidRDefault="008A74A2" w:rsidP="00D57771">
            <w:pPr>
              <w:spacing w:after="0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вимагається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  <w:p w:rsidR="008A74A2" w:rsidRPr="008A74A2" w:rsidRDefault="008A74A2" w:rsidP="00D57771">
            <w:pPr>
              <w:spacing w:after="0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</w:pPr>
          </w:p>
        </w:tc>
      </w:tr>
      <w:tr w:rsidR="008A74A2" w:rsidRPr="00577538" w:rsidTr="008A74A2">
        <w:trPr>
          <w:trHeight w:val="150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Default="008A74A2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Default="008A74A2" w:rsidP="00D5777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8A74A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пп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 3 п.47 Особливостей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P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під час подання тендерної пропозиції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A2" w:rsidRDefault="008A74A2" w:rsidP="00D5777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Якщо на час оголошення процедури закупівлі доступ до  відповідного реєстру обмежений, переможець надає витяг або довідку  з Єдиного державного реєстру осіб, які вчинили корупційні або пов’язані з корупцією правопорушення </w:t>
            </w:r>
            <w:r w:rsidRPr="008A74A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(відповідно до пункту 47 Особливостей)</w:t>
            </w:r>
          </w:p>
          <w:p w:rsidR="008A74A2" w:rsidRDefault="008A74A2" w:rsidP="00D5777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8A74A2" w:rsidRPr="008A74A2" w:rsidRDefault="008A74A2" w:rsidP="00D57771">
            <w:pPr>
              <w:spacing w:after="0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</w:pPr>
          </w:p>
        </w:tc>
      </w:tr>
      <w:tr w:rsidR="008A74A2" w:rsidRPr="008A74A2" w:rsidTr="008A74A2">
        <w:trPr>
          <w:trHeight w:val="113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Default="008A74A2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  <w:p w:rsidR="008A74A2" w:rsidRDefault="008A74A2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4A2" w:rsidRDefault="008A74A2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Default="008A74A2" w:rsidP="00D5777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уб’єкт господарювання (учасник процедури закупівлі) протягом останніх трьох років притягувався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 відповідальності за порушення, передбачене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anchor="n52" w:history="1">
              <w:r w:rsidRPr="008A74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пунктом 4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частини другої статті 6,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anchor="n456" w:history="1">
              <w:r w:rsidRPr="008A74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пунктом 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статті 50 Закону України “Про захист економічної конкуренції”, у вигляді вчинення </w:t>
            </w:r>
            <w:proofErr w:type="spellStart"/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4 п.47 Особливостей)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A2" w:rsidRP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Учасник процедури </w:t>
            </w:r>
            <w:r w:rsidRPr="008A74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8A74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8A74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вимагається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74A2" w:rsidRP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Замовник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самостійно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перевіряє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</w:p>
        </w:tc>
      </w:tr>
      <w:tr w:rsidR="008A74A2" w:rsidRPr="008A74A2" w:rsidTr="007B7984">
        <w:trPr>
          <w:trHeight w:val="5184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Default="008A74A2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Default="008A74A2" w:rsidP="00D5777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ізична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особа, яка 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засуджена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погашено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установленому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законом порядку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5 п.47 Особливостей)</w:t>
            </w:r>
          </w:p>
          <w:p w:rsidR="008A74A2" w:rsidRDefault="008A74A2" w:rsidP="00D5777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8A74A2" w:rsidRDefault="008A74A2" w:rsidP="00D5777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під час подання тендерної пропозиції</w:t>
            </w:r>
          </w:p>
          <w:p w:rsid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A74A2" w:rsidRP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4A2" w:rsidRPr="008A74A2" w:rsidRDefault="008A74A2" w:rsidP="008A74A2">
            <w:pPr>
              <w:spacing w:after="0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</w:pPr>
            <w:r w:rsidRPr="008A7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перебуває. </w:t>
            </w:r>
            <w:r w:rsidRPr="00C428D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(відповідно до пункту 4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C428D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Особливостей</w:t>
            </w:r>
          </w:p>
        </w:tc>
      </w:tr>
      <w:tr w:rsidR="007B7984" w:rsidRPr="008A74A2" w:rsidTr="007B7984">
        <w:trPr>
          <w:trHeight w:val="5709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84" w:rsidRDefault="007B7984" w:rsidP="00D57771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84" w:rsidRDefault="007B7984" w:rsidP="00D5777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ерівник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засуджений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шахрайством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погашено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установленому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законом порядку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6 п.47 Особливостей)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84" w:rsidRPr="007B7984" w:rsidRDefault="007B7984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84" w:rsidRDefault="007B7984" w:rsidP="008A74A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7B7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те, що службова (посадова) особа учасника процедури закупівлі, яка підписала тендерну пропозицію до кримінальної відповідальності не притягується, незнятої чи непогашеної судимості не має та в розшуку не перебуває.</w:t>
            </w:r>
            <w:r w:rsidRPr="007B798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 пункту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Особливостей</w:t>
            </w:r>
            <w:proofErr w:type="spellEnd"/>
          </w:p>
          <w:p w:rsidR="007B7984" w:rsidRDefault="007B7984" w:rsidP="008A74A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B7984" w:rsidRDefault="007B7984" w:rsidP="008A74A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B7984" w:rsidRPr="008A74A2" w:rsidRDefault="007B7984" w:rsidP="008A74A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B7984" w:rsidRPr="008A74A2" w:rsidTr="007B7984">
        <w:trPr>
          <w:trHeight w:val="2053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84" w:rsidRDefault="007B7984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84" w:rsidRDefault="007B7984" w:rsidP="007B798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ендерна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пов’язаною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 (особами), та/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7 п.47 Особливостей)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84" w:rsidRDefault="007B7984" w:rsidP="007B798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вимагається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84" w:rsidRDefault="007B7984" w:rsidP="007B7984">
            <w:pPr>
              <w:spacing w:after="0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вимагається</w:t>
            </w:r>
            <w:proofErr w:type="spellEnd"/>
          </w:p>
          <w:p w:rsidR="007B7984" w:rsidRDefault="007B7984" w:rsidP="007B7984">
            <w:pPr>
              <w:pStyle w:val="1"/>
              <w:spacing w:before="0"/>
              <w:ind w:left="2" w:hanging="2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7B7984" w:rsidRPr="008A74A2" w:rsidTr="007B7984">
        <w:trPr>
          <w:trHeight w:val="3343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84" w:rsidRDefault="007B7984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  <w:p w:rsidR="007B7984" w:rsidRDefault="007B7984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84" w:rsidRDefault="007B7984" w:rsidP="007B79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законом порядку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банкрутом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відкрита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ліквідаційна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8 п.47 Особливостей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84" w:rsidRPr="007B7984" w:rsidRDefault="007B7984" w:rsidP="007B7984">
            <w:pPr>
              <w:spacing w:after="0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</w:pPr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84" w:rsidRPr="007B7984" w:rsidRDefault="007B7984" w:rsidP="007B7984">
            <w:pPr>
              <w:spacing w:after="0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вимагається</w:t>
            </w:r>
            <w:proofErr w:type="spellEnd"/>
          </w:p>
        </w:tc>
      </w:tr>
      <w:tr w:rsidR="007B7984" w:rsidRPr="008A74A2" w:rsidTr="007B7984">
        <w:trPr>
          <w:trHeight w:val="3380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84" w:rsidRDefault="007B7984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84" w:rsidRDefault="007B7984" w:rsidP="007B79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8" w:anchor="n174" w:history="1">
              <w:r w:rsidRPr="007B7984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пунктом 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 (крім нерезидентів)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9 п.47 Особливостей)</w:t>
            </w:r>
          </w:p>
          <w:p w:rsidR="007B7984" w:rsidRDefault="007B7984" w:rsidP="007B79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B7984" w:rsidRDefault="007B7984" w:rsidP="007B79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84" w:rsidRPr="007B7984" w:rsidRDefault="007B7984" w:rsidP="007B79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84" w:rsidRPr="007B7984" w:rsidRDefault="007B7984" w:rsidP="007B7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вимагається</w:t>
            </w:r>
            <w:proofErr w:type="spellEnd"/>
          </w:p>
        </w:tc>
      </w:tr>
      <w:tr w:rsidR="007B7984" w:rsidRPr="008A74A2" w:rsidTr="00FF53AB">
        <w:trPr>
          <w:trHeight w:val="313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84" w:rsidRDefault="007B7984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7984" w:rsidRDefault="007B7984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  <w:p w:rsidR="007B7984" w:rsidRDefault="007B7984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84" w:rsidRPr="007B7984" w:rsidRDefault="007B7984" w:rsidP="007B7984">
            <w:pPr>
              <w:spacing w:after="0"/>
              <w:jc w:val="both"/>
              <w:rPr>
                <w:lang w:val="uk-UA"/>
              </w:rPr>
            </w:pPr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Юридична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10 п.47 Особливостей))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84" w:rsidRDefault="007B7984" w:rsidP="007B79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84" w:rsidRDefault="007B7984" w:rsidP="007B7984">
            <w:pPr>
              <w:spacing w:after="0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вимагається</w:t>
            </w:r>
            <w:proofErr w:type="spellEnd"/>
          </w:p>
          <w:p w:rsidR="007B7984" w:rsidRPr="007B7984" w:rsidRDefault="007B7984" w:rsidP="007B7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5A46" w:rsidRPr="008A74A2" w:rsidTr="002C5A46">
        <w:trPr>
          <w:trHeight w:val="557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5A46" w:rsidRDefault="002C5A46" w:rsidP="002C5A46">
            <w:pPr>
              <w:spacing w:after="0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46" w:rsidRPr="002C5A46" w:rsidRDefault="002C5A46" w:rsidP="002C5A46">
            <w:pPr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7B79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товарів, робіт і послуг згідно із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7B7984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Законом України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“Про санкції,</w:t>
            </w:r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коли </w:t>
            </w:r>
            <w:proofErr w:type="spellStart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активи</w:t>
            </w:r>
            <w:proofErr w:type="spellEnd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такої</w:t>
            </w:r>
            <w:proofErr w:type="spellEnd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особи в </w:t>
            </w:r>
            <w:proofErr w:type="spellStart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4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ядку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передані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управління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АРМА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11 п.47 Особливостей)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A46" w:rsidRDefault="002C5A46" w:rsidP="007B79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</w:p>
          <w:p w:rsidR="002C5A46" w:rsidRDefault="002C5A46" w:rsidP="002C5A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C5A46" w:rsidRDefault="002C5A46" w:rsidP="002C5A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A46" w:rsidRDefault="002C5A46" w:rsidP="007B7984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 пункту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47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Особливостей</w:t>
            </w:r>
            <w:proofErr w:type="spellEnd"/>
          </w:p>
          <w:p w:rsidR="002C5A46" w:rsidRDefault="002C5A46" w:rsidP="007B79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5A46" w:rsidRPr="007B7984" w:rsidRDefault="002C5A46" w:rsidP="007B7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5A46" w:rsidRPr="008A74A2" w:rsidTr="002C5A46">
        <w:trPr>
          <w:trHeight w:val="2668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46" w:rsidRDefault="002C5A46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46" w:rsidRDefault="002C5A46" w:rsidP="007B79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Pr="00F73E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12 п.47 Особливостей)</w:t>
            </w:r>
          </w:p>
          <w:p w:rsidR="002C5A46" w:rsidRPr="007B7984" w:rsidRDefault="002C5A46" w:rsidP="00F73E3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46" w:rsidRDefault="002C5A46" w:rsidP="002C5A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46" w:rsidRDefault="002C5A46" w:rsidP="002C5A4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 пункту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47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Особливостей</w:t>
            </w:r>
            <w:proofErr w:type="spellEnd"/>
          </w:p>
          <w:p w:rsidR="002C5A46" w:rsidRDefault="002C5A46" w:rsidP="002C5A4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A46" w:rsidRDefault="002C5A46" w:rsidP="002C5A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73E30" w:rsidRPr="008A74A2" w:rsidTr="00DC62A5">
        <w:trPr>
          <w:trHeight w:val="5805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30" w:rsidRDefault="00F73E30" w:rsidP="007B7984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30" w:rsidRDefault="00F73E30" w:rsidP="00F73E3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договором про закупівлю саме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14 п.47 Особливостей)</w:t>
            </w:r>
          </w:p>
          <w:p w:rsidR="00F73E30" w:rsidRPr="00F73E30" w:rsidRDefault="00F73E30" w:rsidP="00F73E3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30" w:rsidRPr="00CF14FB" w:rsidRDefault="00F73E30" w:rsidP="00F73E30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під час подання тендерної пропозиції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F73E30" w:rsidRPr="00CF14FB" w:rsidRDefault="00F73E30" w:rsidP="00F73E30">
            <w:pPr>
              <w:ind w:firstLine="317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</w:t>
            </w:r>
            <w:r>
              <w:rPr>
                <w:rFonts w:ascii="Times New Roman" w:hAnsi="Times New Roman"/>
                <w:lang w:val="uk-UA"/>
              </w:rPr>
              <w:t>надати:</w:t>
            </w:r>
          </w:p>
          <w:p w:rsidR="00F73E30" w:rsidRPr="00CF14FB" w:rsidRDefault="00F73E30" w:rsidP="00F73E30">
            <w:pPr>
              <w:pStyle w:val="a4"/>
              <w:numPr>
                <w:ilvl w:val="0"/>
                <w:numId w:val="2"/>
              </w:numPr>
              <w:ind w:left="41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F73E30" w:rsidRDefault="00F73E30" w:rsidP="00F73E30">
            <w:pPr>
              <w:ind w:left="5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або учасник процедури закупівлі, що перебуває в обставинах, зазначених у абзаці 14 п.47 </w:t>
            </w:r>
            <w:r>
              <w:rPr>
                <w:rFonts w:ascii="Times New Roman" w:hAnsi="Times New Roman"/>
                <w:lang w:val="uk-UA"/>
              </w:rPr>
              <w:lastRenderedPageBreak/>
              <w:t>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  <w:p w:rsidR="00F73E30" w:rsidRDefault="00F73E30" w:rsidP="00DC62A5">
            <w:pPr>
              <w:ind w:left="5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Якщо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замовник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вважає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таке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достатнім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учаснику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може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відмовлено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участі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процедурі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закупівлі</w:t>
            </w:r>
            <w:proofErr w:type="spellEnd"/>
          </w:p>
          <w:p w:rsidR="00F73E30" w:rsidRDefault="00F73E30" w:rsidP="007B79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DE" w:rsidRDefault="003671DE" w:rsidP="0036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Переможець надає довідку в довільній формі про те, що між ним та замовником раніше не було укладено договір про закупівлю, за яким не виконано договірні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даного договору.</w:t>
            </w:r>
          </w:p>
          <w:p w:rsidR="003671DE" w:rsidRDefault="003671DE" w:rsidP="00CC6D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671DE" w:rsidRDefault="003671DE" w:rsidP="003671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73E30" w:rsidRPr="003671DE" w:rsidRDefault="00CC6DBA" w:rsidP="003671D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671D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Переможець процедури закупівлі, що перебуває в обставинах, зазначених у абзаці 14 п.47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переможець повинен довести, що він сплатив або зобов’язався сплатити </w:t>
            </w:r>
            <w:r w:rsidRPr="003671D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відповідні зобов’язання та відшкодування завданих збитків.</w:t>
            </w:r>
          </w:p>
          <w:p w:rsidR="00CC6DBA" w:rsidRPr="00F73E30" w:rsidRDefault="00CC6DBA" w:rsidP="003671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671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671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3671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71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 пункту</w:t>
            </w:r>
            <w:proofErr w:type="gramEnd"/>
            <w:r w:rsidRPr="003671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47 </w:t>
            </w:r>
            <w:proofErr w:type="spellStart"/>
            <w:r w:rsidRPr="003671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</w:tc>
      </w:tr>
    </w:tbl>
    <w:p w:rsidR="008A74A2" w:rsidRDefault="008A74A2" w:rsidP="00CC6DB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A74A2" w:rsidRPr="00D11D99" w:rsidRDefault="008A74A2" w:rsidP="008A74A2">
      <w:pPr>
        <w:spacing w:after="0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ВАЖЛИВО!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службова (посадова) особа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 Фізична особа-підприємець, яка НЕ наймає працівників на умовах трудового договору для сприяння йому у здійсненні підприємницької діяльності –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фізична особа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(відповідно до листа Міністерства юстиції України від 03.11.2006 № 22-48-548).</w:t>
      </w:r>
    </w:p>
    <w:p w:rsidR="008A74A2" w:rsidRDefault="008A74A2" w:rsidP="008A74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4A2" w:rsidRPr="00D11D99" w:rsidRDefault="008A74A2" w:rsidP="008A74A2">
      <w:pPr>
        <w:ind w:firstLine="567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визначених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3"/>
          <w:rFonts w:ascii="Times New Roman" w:hAnsi="Times New Roman"/>
          <w:sz w:val="24"/>
          <w:szCs w:val="24"/>
          <w:lang w:val="uk-UA"/>
        </w:rPr>
        <w:t xml:space="preserve">пунктом 47 </w:t>
      </w:r>
      <w:r>
        <w:rPr>
          <w:rFonts w:ascii="Times New Roman" w:hAnsi="Times New Roman"/>
          <w:sz w:val="24"/>
          <w:szCs w:val="24"/>
          <w:lang w:val="uk-UA"/>
        </w:rPr>
        <w:t>цих Особливостей,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3"/>
          <w:rFonts w:ascii="Times New Roman" w:hAnsi="Times New Roman"/>
          <w:sz w:val="24"/>
          <w:szCs w:val="24"/>
          <w:lang w:val="uk-UA"/>
        </w:rPr>
        <w:t>пунктом 47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цих Особливостей.</w:t>
      </w:r>
    </w:p>
    <w:p w:rsidR="008A74A2" w:rsidRDefault="008A74A2" w:rsidP="008A74A2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A74A2" w:rsidRDefault="008A74A2" w:rsidP="008A74A2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700BB" w:rsidRPr="008A74A2" w:rsidRDefault="00E700BB">
      <w:pPr>
        <w:rPr>
          <w:lang w:val="uk-UA"/>
        </w:rPr>
      </w:pPr>
    </w:p>
    <w:sectPr w:rsidR="00E700BB" w:rsidRPr="008A7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A2768"/>
    <w:multiLevelType w:val="multilevel"/>
    <w:tmpl w:val="E09C456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F66B3F"/>
    <w:multiLevelType w:val="multilevel"/>
    <w:tmpl w:val="3A5AE05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8D"/>
    <w:rsid w:val="002B1AE2"/>
    <w:rsid w:val="002C5A46"/>
    <w:rsid w:val="00343F8D"/>
    <w:rsid w:val="003671DE"/>
    <w:rsid w:val="00577538"/>
    <w:rsid w:val="007B7984"/>
    <w:rsid w:val="008A74A2"/>
    <w:rsid w:val="00C428D8"/>
    <w:rsid w:val="00CC6DBA"/>
    <w:rsid w:val="00DC62A5"/>
    <w:rsid w:val="00E700BB"/>
    <w:rsid w:val="00F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77CB-BA36-480F-8F45-A4B9853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74A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rsid w:val="008A74A2"/>
    <w:pPr>
      <w:keepNext/>
      <w:keepLines/>
      <w:spacing w:before="480" w:after="0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A2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styleId="a3">
    <w:name w:val="Hyperlink"/>
    <w:rsid w:val="008A74A2"/>
    <w:rPr>
      <w:color w:val="0000FF"/>
      <w:u w:val="single"/>
    </w:rPr>
  </w:style>
  <w:style w:type="paragraph" w:styleId="a4">
    <w:name w:val="List Paragraph"/>
    <w:basedOn w:val="a"/>
    <w:rsid w:val="008A74A2"/>
    <w:pPr>
      <w:ind w:left="720"/>
    </w:pPr>
  </w:style>
  <w:style w:type="paragraph" w:customStyle="1" w:styleId="rvps2">
    <w:name w:val="rvps2"/>
    <w:basedOn w:val="a"/>
    <w:rsid w:val="008A74A2"/>
    <w:pPr>
      <w:spacing w:before="100" w:after="100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671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1D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" TargetMode="External"/><Relationship Id="rId13" Type="http://schemas.openxmlformats.org/officeDocument/2006/relationships/hyperlink" Target="https://zakon.rada.gov.ua/laws/show/1178-2022-&#1087;" TargetMode="External"/><Relationship Id="rId18" Type="http://schemas.openxmlformats.org/officeDocument/2006/relationships/hyperlink" Target="https://zakon.rada.gov.ua/laws/show/755-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1178-2022-&#1087;" TargetMode="External"/><Relationship Id="rId12" Type="http://schemas.openxmlformats.org/officeDocument/2006/relationships/hyperlink" Target="https://zakon.rada.gov.ua/laws/show/1178-2022-&#1087;" TargetMode="External"/><Relationship Id="rId1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10-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" TargetMode="External"/><Relationship Id="rId11" Type="http://schemas.openxmlformats.org/officeDocument/2006/relationships/hyperlink" Target="https://zakon.rada.gov.ua/laws/show/1178-2022-&#1087;" TargetMode="External"/><Relationship Id="rId5" Type="http://schemas.openxmlformats.org/officeDocument/2006/relationships/hyperlink" Target="https://zakon.rada.gov.ua/laws/show/1178-2022-&#1087;" TargetMode="External"/><Relationship Id="rId15" Type="http://schemas.openxmlformats.org/officeDocument/2006/relationships/hyperlink" Target="https://zakon.rada.gov.ua/laws/show/2939-17" TargetMode="External"/><Relationship Id="rId10" Type="http://schemas.openxmlformats.org/officeDocument/2006/relationships/hyperlink" Target="https://zakon.rada.gov.ua/laws/show/2939-17" TargetMode="External"/><Relationship Id="rId19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" TargetMode="External"/><Relationship Id="rId14" Type="http://schemas.openxmlformats.org/officeDocument/2006/relationships/hyperlink" Target="https://zakon.rada.gov.ua/laws/show/1178-2022-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9240</Words>
  <Characters>5267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Yuryst-3dprz</dc:creator>
  <cp:keywords/>
  <dc:description/>
  <cp:lastModifiedBy>Yuryst-3dprz</cp:lastModifiedBy>
  <cp:revision>12</cp:revision>
  <cp:lastPrinted>2023-11-07T09:31:00Z</cp:lastPrinted>
  <dcterms:created xsi:type="dcterms:W3CDTF">2023-11-06T11:54:00Z</dcterms:created>
  <dcterms:modified xsi:type="dcterms:W3CDTF">2023-11-08T14:07:00Z</dcterms:modified>
</cp:coreProperties>
</file>