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581169" w:rsidRPr="00581169" w:rsidRDefault="00581169" w:rsidP="0058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32"/>
          <w:lang w:val="uk-UA"/>
        </w:rPr>
      </w:pPr>
      <w:r w:rsidRPr="00581169">
        <w:rPr>
          <w:rFonts w:ascii="Times New Roman" w:hAnsi="Times New Roman"/>
          <w:b/>
          <w:bCs/>
          <w:kern w:val="32"/>
          <w:lang w:val="uk-UA"/>
        </w:rPr>
        <w:t xml:space="preserve">«Придбання та монтаж холодильного та морозильного обладнання» </w:t>
      </w:r>
    </w:p>
    <w:p w:rsidR="00581169" w:rsidRPr="00581169" w:rsidRDefault="00581169" w:rsidP="00581169">
      <w:pPr>
        <w:spacing w:before="120" w:after="120"/>
        <w:ind w:right="-142"/>
        <w:jc w:val="center"/>
        <w:rPr>
          <w:rFonts w:ascii="Times New Roman" w:hAnsi="Times New Roman"/>
          <w:b/>
          <w:color w:val="000000"/>
          <w:shd w:val="clear" w:color="auto" w:fill="FDFEFD"/>
          <w:lang w:val="uk-UA"/>
        </w:rPr>
      </w:pPr>
      <w:r w:rsidRPr="00581169">
        <w:rPr>
          <w:rFonts w:ascii="Times New Roman" w:hAnsi="Times New Roman"/>
          <w:b/>
        </w:rPr>
        <w:t>ДК 021:2015 –</w:t>
      </w:r>
      <w:r w:rsidRPr="00581169">
        <w:rPr>
          <w:rFonts w:ascii="Times New Roman" w:hAnsi="Times New Roman"/>
          <w:b/>
          <w:lang w:val="uk-UA"/>
        </w:rPr>
        <w:t>42510000-4</w:t>
      </w:r>
      <w:r w:rsidRPr="00581169">
        <w:rPr>
          <w:rFonts w:ascii="Times New Roman" w:hAnsi="Times New Roman"/>
          <w:b/>
          <w:color w:val="000000"/>
          <w:shd w:val="clear" w:color="auto" w:fill="FDFEFD"/>
          <w:lang w:val="uk-UA"/>
        </w:rPr>
        <w:t xml:space="preserve"> «Теплообмінники, кондиціонери повітря, холодильне обладнання та фільтрувальні пристрої»</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CE7419" w:rsidRPr="00562304" w:rsidRDefault="00CE7419" w:rsidP="00416EAD">
      <w:pPr>
        <w:spacing w:before="120" w:after="120"/>
        <w:rPr>
          <w:rFonts w:ascii="Times New Roman" w:hAnsi="Times New Roman"/>
          <w:color w:val="000000" w:themeColor="text1"/>
          <w:sz w:val="24"/>
          <w:szCs w:val="24"/>
          <w:lang w:val="uk-UA"/>
        </w:rPr>
      </w:pPr>
    </w:p>
    <w:p w:rsidR="00A92B81" w:rsidRPr="00562304" w:rsidRDefault="0034581E" w:rsidP="00CE7419">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CE7419" w:rsidRDefault="00CE7419" w:rsidP="00CE7419">
            <w:pPr>
              <w:spacing w:after="0"/>
              <w:jc w:val="both"/>
              <w:rPr>
                <w:rFonts w:ascii="Times New Roman" w:hAnsi="Times New Roman"/>
                <w:lang w:val="uk-UA" w:eastAsia="uk-UA"/>
              </w:rPr>
            </w:pPr>
            <w:r>
              <w:rPr>
                <w:rFonts w:ascii="Times New Roman" w:eastAsia="Batang" w:hAnsi="Times New Roman"/>
                <w:color w:val="000000"/>
                <w:lang w:val="uk-UA"/>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до  головного державного інспектора відділу матеріального забезпечення </w:t>
            </w:r>
            <w:r>
              <w:rPr>
                <w:rFonts w:ascii="Times New Roman" w:hAnsi="Times New Roman"/>
                <w:lang w:val="uk-UA" w:eastAsia="uk-UA"/>
              </w:rPr>
              <w:t xml:space="preserve">управління адміністративно – господарської діяльності Львівської митниці Держмитслужби </w:t>
            </w:r>
            <w:r>
              <w:rPr>
                <w:rFonts w:ascii="Times New Roman" w:hAnsi="Times New Roman"/>
                <w:i/>
                <w:lang w:val="uk-UA" w:eastAsia="uk-UA"/>
              </w:rPr>
              <w:t>Качинського Дмитра Мирославовича</w:t>
            </w:r>
            <w:r>
              <w:rPr>
                <w:rFonts w:ascii="Times New Roman" w:hAnsi="Times New Roman"/>
                <w:lang w:val="uk-UA" w:eastAsia="uk-UA"/>
              </w:rPr>
              <w:t xml:space="preserve">,  032 258 99 55, </w:t>
            </w:r>
            <w:r>
              <w:rPr>
                <w:rFonts w:ascii="Times New Roman" w:hAnsi="Times New Roman"/>
                <w:i/>
                <w:lang w:val="uk-UA" w:eastAsia="uk-UA"/>
              </w:rPr>
              <w:t>уповноваженої особи</w:t>
            </w:r>
            <w:r>
              <w:rPr>
                <w:rFonts w:ascii="Times New Roman" w:hAnsi="Times New Roman"/>
                <w:lang w:val="uk-UA" w:eastAsia="uk-UA"/>
              </w:rPr>
              <w:t xml:space="preserve"> </w:t>
            </w:r>
          </w:p>
          <w:p w:rsidR="00CE7419" w:rsidRDefault="00CE7419" w:rsidP="00CE7419">
            <w:pPr>
              <w:spacing w:before="150" w:after="0" w:line="240" w:lineRule="auto"/>
              <w:jc w:val="both"/>
              <w:rPr>
                <w:rFonts w:ascii="Times New Roman" w:hAnsi="Times New Roman"/>
                <w:i/>
                <w:color w:val="000000"/>
                <w:lang w:val="uk-UA"/>
              </w:rPr>
            </w:pPr>
            <w:r>
              <w:rPr>
                <w:rFonts w:ascii="Times New Roman" w:hAnsi="Times New Roman"/>
                <w:lang w:val="en-GB" w:eastAsia="uk-UA"/>
              </w:rPr>
              <w:t xml:space="preserve">e-mail: </w:t>
            </w:r>
            <w:hyperlink r:id="rId7" w:history="1">
              <w:r>
                <w:rPr>
                  <w:rStyle w:val="a4"/>
                  <w:i/>
                  <w:lang w:val="en-GB"/>
                </w:rPr>
                <w:t>roman.zahrai@ukr.net</w:t>
              </w:r>
            </w:hyperlink>
          </w:p>
          <w:p w:rsidR="00B01163" w:rsidRPr="00305604" w:rsidRDefault="00581169" w:rsidP="00443016">
            <w:pPr>
              <w:spacing w:before="150" w:after="0" w:line="240" w:lineRule="auto"/>
              <w:rPr>
                <w:rFonts w:ascii="Times New Roman" w:hAnsi="Times New Roman"/>
                <w:color w:val="000000" w:themeColor="text1"/>
                <w:sz w:val="24"/>
                <w:szCs w:val="24"/>
                <w:lang w:val="uk-UA" w:eastAsia="ru-RU"/>
              </w:rPr>
            </w:pPr>
            <w:r>
              <w:rPr>
                <w:rFonts w:ascii="Times New Roman" w:hAnsi="Times New Roman"/>
                <w:i/>
                <w:color w:val="000000"/>
                <w:lang w:val="uk-UA"/>
              </w:rPr>
              <w:t xml:space="preserve">З </w:t>
            </w:r>
            <w:r w:rsidRPr="00E927B3">
              <w:rPr>
                <w:rFonts w:ascii="Times New Roman" w:eastAsia="Batang" w:hAnsi="Times New Roman"/>
                <w:color w:val="000000"/>
                <w:lang w:val="uk-UA"/>
              </w:rPr>
              <w:t>отримання інформації щодо предмета закупівлі, його технічних, якісних та кількісних характеристик</w:t>
            </w:r>
            <w:r>
              <w:rPr>
                <w:rFonts w:ascii="Times New Roman" w:eastAsia="Batang" w:hAnsi="Times New Roman"/>
                <w:color w:val="000000"/>
                <w:lang w:val="uk-UA"/>
              </w:rPr>
              <w:t xml:space="preserve"> до начальника відділу розбудови інфраструктури Папроцького Івана Михайловича </w:t>
            </w:r>
            <w:r w:rsidRPr="00E927B3">
              <w:rPr>
                <w:rFonts w:ascii="Times New Roman" w:hAnsi="Times New Roman"/>
                <w:lang w:val="uk-UA" w:eastAsia="uk-UA"/>
              </w:rPr>
              <w:t xml:space="preserve">032 258 99 </w:t>
            </w:r>
            <w:r>
              <w:rPr>
                <w:rFonts w:ascii="Times New Roman" w:hAnsi="Times New Roman"/>
                <w:lang w:val="uk-UA" w:eastAsia="uk-UA"/>
              </w:rPr>
              <w:t>18.</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F515B"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Товар</w:t>
            </w:r>
          </w:p>
        </w:tc>
      </w:tr>
      <w:tr w:rsidR="00562304" w:rsidRPr="00562304" w:rsidTr="00FC42B4">
        <w:trPr>
          <w:trHeight w:val="681"/>
        </w:trPr>
        <w:tc>
          <w:tcPr>
            <w:tcW w:w="300" w:type="pct"/>
            <w:shd w:val="clear" w:color="auto" w:fill="FFFFFF"/>
          </w:tcPr>
          <w:p w:rsidR="00B01163" w:rsidRPr="00562304" w:rsidRDefault="00B01163" w:rsidP="00581169">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581169">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581169" w:rsidRPr="00581169" w:rsidRDefault="00581169" w:rsidP="0058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kern w:val="32"/>
                <w:lang w:val="uk-UA"/>
              </w:rPr>
            </w:pPr>
            <w:r w:rsidRPr="00581169">
              <w:rPr>
                <w:rFonts w:ascii="Times New Roman" w:hAnsi="Times New Roman"/>
                <w:b/>
                <w:bCs/>
                <w:kern w:val="32"/>
                <w:lang w:val="uk-UA"/>
              </w:rPr>
              <w:t xml:space="preserve">«Придбання та монтаж холодильного та морозильного обладнання» </w:t>
            </w:r>
          </w:p>
          <w:p w:rsidR="00B01163" w:rsidRPr="00581169" w:rsidRDefault="00581169" w:rsidP="00581169">
            <w:pPr>
              <w:spacing w:after="0"/>
              <w:ind w:right="-142"/>
              <w:rPr>
                <w:rFonts w:ascii="Times New Roman" w:hAnsi="Times New Roman"/>
                <w:b/>
                <w:color w:val="000000"/>
                <w:shd w:val="clear" w:color="auto" w:fill="FDFEFD"/>
                <w:lang w:val="uk-UA"/>
              </w:rPr>
            </w:pPr>
            <w:r w:rsidRPr="00581169">
              <w:rPr>
                <w:rFonts w:ascii="Times New Roman" w:hAnsi="Times New Roman"/>
                <w:b/>
              </w:rPr>
              <w:t>ДК 021:2015 –</w:t>
            </w:r>
            <w:r w:rsidRPr="00581169">
              <w:rPr>
                <w:rFonts w:ascii="Times New Roman" w:hAnsi="Times New Roman"/>
                <w:b/>
                <w:lang w:val="uk-UA"/>
              </w:rPr>
              <w:t>42510000-4</w:t>
            </w:r>
            <w:r w:rsidRPr="00581169">
              <w:rPr>
                <w:rFonts w:ascii="Times New Roman" w:hAnsi="Times New Roman"/>
                <w:b/>
                <w:color w:val="000000"/>
                <w:shd w:val="clear" w:color="auto" w:fill="FDFEFD"/>
                <w:lang w:val="uk-UA"/>
              </w:rPr>
              <w:t xml:space="preserve"> «Теплообмінники, кондиціонери повітря, холодильне обладнання та фільтрувальні пристрої»</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обсяги</w:t>
            </w:r>
          </w:p>
        </w:tc>
        <w:tc>
          <w:tcPr>
            <w:tcW w:w="3150" w:type="pct"/>
            <w:shd w:val="clear" w:color="auto" w:fill="FFFFFF"/>
          </w:tcPr>
          <w:p w:rsidR="00581169" w:rsidRPr="00562304" w:rsidRDefault="00581169" w:rsidP="00581169">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поставки товару: 81321</w:t>
            </w:r>
            <w:r w:rsidRPr="00562304">
              <w:rPr>
                <w:rFonts w:ascii="Times New Roman" w:hAnsi="Times New Roman"/>
                <w:color w:val="000000" w:themeColor="text1"/>
                <w:sz w:val="24"/>
                <w:szCs w:val="24"/>
                <w:lang w:val="uk-UA" w:eastAsia="ru-RU"/>
              </w:rPr>
              <w:t>, Україна,</w:t>
            </w:r>
            <w:r>
              <w:rPr>
                <w:rFonts w:ascii="Times New Roman" w:hAnsi="Times New Roman"/>
                <w:color w:val="000000" w:themeColor="text1"/>
                <w:sz w:val="24"/>
                <w:szCs w:val="24"/>
                <w:lang w:val="uk-UA" w:eastAsia="ru-RU"/>
              </w:rPr>
              <w:t xml:space="preserve"> Львівська область, Яворівський район,</w:t>
            </w:r>
            <w:r w:rsidRPr="0056230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с. Шегині, вул. Дружби, 201</w:t>
            </w:r>
            <w:r w:rsidRPr="00562304">
              <w:rPr>
                <w:rFonts w:ascii="Times New Roman" w:hAnsi="Times New Roman"/>
                <w:color w:val="000000" w:themeColor="text1"/>
                <w:sz w:val="24"/>
                <w:szCs w:val="24"/>
                <w:lang w:val="uk-UA" w:eastAsia="ru-RU"/>
              </w:rPr>
              <w:t>.</w:t>
            </w:r>
          </w:p>
          <w:p w:rsidR="00B01163" w:rsidRPr="00562304" w:rsidRDefault="00581169" w:rsidP="00581169">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Обсяг товару визначено в Додатку №3 до тендерної документації</w:t>
            </w:r>
            <w:r>
              <w:rPr>
                <w:rFonts w:ascii="Times New Roman" w:hAnsi="Times New Roman"/>
                <w:b/>
                <w:color w:val="000000" w:themeColor="text1"/>
                <w:sz w:val="24"/>
                <w:szCs w:val="24"/>
                <w:lang w:val="uk-UA" w:eastAsia="ru-RU"/>
              </w:rPr>
              <w:t>.</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581169"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w:t>
            </w:r>
            <w:r w:rsidR="0034581E">
              <w:rPr>
                <w:rFonts w:ascii="Times New Roman" w:hAnsi="Times New Roman"/>
                <w:color w:val="000000" w:themeColor="text1"/>
                <w:sz w:val="24"/>
                <w:szCs w:val="24"/>
                <w:lang w:val="uk-UA" w:eastAsia="ru-RU"/>
              </w:rPr>
              <w:t>.2024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до тендерної 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9"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w:t>
            </w:r>
            <w:r w:rsidRPr="00562304">
              <w:rPr>
                <w:rFonts w:ascii="Times New Roman" w:eastAsia="Times New Roman" w:hAnsi="Times New Roman"/>
                <w:color w:val="000000" w:themeColor="text1"/>
                <w:sz w:val="24"/>
                <w:szCs w:val="24"/>
              </w:rPr>
              <w:lastRenderedPageBreak/>
              <w:t>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C2EDD">
              <w:rPr>
                <w:rFonts w:ascii="Times New Roman" w:eastAsia="Times New Roman" w:hAnsi="Times New Roman"/>
                <w:b/>
                <w:sz w:val="24"/>
                <w:szCs w:val="24"/>
              </w:rPr>
              <w:lastRenderedPageBreak/>
              <w:t>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w:t>
            </w:r>
            <w:r>
              <w:rPr>
                <w:rFonts w:ascii="Times New Roman" w:eastAsia="Times New Roman" w:hAnsi="Times New Roman"/>
                <w:sz w:val="24"/>
                <w:szCs w:val="24"/>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Pr>
                <w:rFonts w:ascii="Times New Roman" w:eastAsia="Times New Roman" w:hAnsi="Times New Roman"/>
                <w:sz w:val="24"/>
                <w:szCs w:val="24"/>
              </w:rPr>
              <w:lastRenderedPageBreak/>
              <w:t>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4D674B">
              <w:rPr>
                <w:rFonts w:ascii="Times New Roman" w:eastAsia="Times New Roman" w:hAnsi="Times New Roman"/>
                <w:b/>
                <w:color w:val="000000"/>
                <w:sz w:val="24"/>
                <w:szCs w:val="24"/>
              </w:rPr>
              <w:lastRenderedPageBreak/>
              <w:t xml:space="preserve">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іткими та розбірливими для 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Умови повернення чи неповернення забезпечення </w:t>
            </w:r>
            <w:r w:rsidRPr="00562304">
              <w:rPr>
                <w:rFonts w:ascii="Times New Roman" w:hAnsi="Times New Roman"/>
                <w:color w:val="000000" w:themeColor="text1"/>
                <w:sz w:val="24"/>
                <w:szCs w:val="24"/>
                <w:lang w:val="uk-UA" w:eastAsia="ru-RU"/>
              </w:rPr>
              <w:lastRenderedPageBreak/>
              <w:t>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фізичну особу, яка є учасником процедури закупівлі, було </w:t>
            </w:r>
            <w:r>
              <w:rPr>
                <w:rFonts w:ascii="Times New Roman" w:eastAsia="Times New Roman" w:hAnsi="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w:t>
            </w:r>
            <w:r>
              <w:rPr>
                <w:rFonts w:ascii="Times New Roman" w:eastAsia="Times New Roman" w:hAnsi="Times New Roman"/>
                <w:sz w:val="24"/>
                <w:szCs w:val="24"/>
              </w:rPr>
              <w:lastRenderedPageBreak/>
              <w:t xml:space="preserve">особою, до якої </w:t>
            </w:r>
            <w:r w:rsidRPr="004D674B">
              <w:rPr>
                <w:rFonts w:ascii="Times New Roman" w:eastAsia="Times New Roman" w:hAnsi="Times New Roman"/>
                <w:sz w:val="24"/>
                <w:szCs w:val="24"/>
              </w:rPr>
              <w:t xml:space="preserve">застосовано санкцію у вигляді заборони 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Інформація про технічні, якісні та кількісні характеристики предмета </w:t>
            </w:r>
            <w:r w:rsidRPr="00562304">
              <w:rPr>
                <w:rFonts w:ascii="Times New Roman" w:hAnsi="Times New Roman"/>
                <w:color w:val="000000" w:themeColor="text1"/>
                <w:sz w:val="24"/>
                <w:szCs w:val="24"/>
                <w:lang w:val="uk-UA" w:eastAsia="ru-RU"/>
              </w:rPr>
              <w:lastRenderedPageBreak/>
              <w:t>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lastRenderedPageBreak/>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11">
              <w:r>
                <w:rPr>
                  <w:rFonts w:ascii="Times New Roman" w:eastAsia="Times New Roman" w:hAnsi="Times New Roman"/>
                  <w:sz w:val="24"/>
                  <w:szCs w:val="24"/>
                </w:rPr>
                <w:t xml:space="preserve"> пунктом третім </w:t>
              </w:r>
            </w:hyperlink>
            <w:hyperlink r:id="rId12">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571DE6" w:rsidP="006343C2">
            <w:pPr>
              <w:spacing w:before="150" w:after="150" w:line="240" w:lineRule="auto"/>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571DE6" w:rsidP="006343C2">
            <w:pPr>
              <w:spacing w:before="150" w:after="150" w:line="240" w:lineRule="auto"/>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3733C2">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9E5868">
              <w:rPr>
                <w:rFonts w:ascii="Times New Roman" w:hAnsi="Times New Roman"/>
                <w:b/>
                <w:color w:val="000000" w:themeColor="text1"/>
                <w:lang w:val="uk-UA"/>
              </w:rPr>
              <w:t>05</w:t>
            </w:r>
            <w:r w:rsidRPr="00562304">
              <w:rPr>
                <w:rFonts w:ascii="Times New Roman" w:hAnsi="Times New Roman"/>
                <w:b/>
                <w:color w:val="000000" w:themeColor="text1"/>
              </w:rPr>
              <w:t xml:space="preserve">» </w:t>
            </w:r>
            <w:r w:rsidR="009E5868">
              <w:rPr>
                <w:rFonts w:ascii="Times New Roman" w:hAnsi="Times New Roman"/>
                <w:b/>
                <w:color w:val="000000" w:themeColor="text1"/>
                <w:lang w:val="uk-UA"/>
              </w:rPr>
              <w:t>квітня</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 xml:space="preserve">ідтвердженням інформації, наданої учасником/переможцем процедури закупівлі, до органів державної влади, підприємств, </w:t>
            </w:r>
            <w:r w:rsidRPr="00E8243B">
              <w:rPr>
                <w:rFonts w:ascii="Times New Roman" w:eastAsia="Times New Roman" w:hAnsi="Times New Roman"/>
                <w:color w:val="000000" w:themeColor="text1"/>
                <w:sz w:val="24"/>
                <w:szCs w:val="24"/>
                <w:highlight w:val="white"/>
              </w:rPr>
              <w:lastRenderedPageBreak/>
              <w:t>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ідстави щодо ненадання </w:t>
            </w:r>
            <w:r>
              <w:rPr>
                <w:rFonts w:ascii="Times New Roman" w:eastAsia="Times New Roman" w:hAnsi="Times New Roman"/>
                <w:sz w:val="24"/>
                <w:szCs w:val="24"/>
              </w:rPr>
              <w:lastRenderedPageBreak/>
              <w:t>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xml:space="preserve">. Якщо вимога в тендерній документації встановлена декілька разів, учасник / переможець може подати </w:t>
            </w:r>
            <w:r>
              <w:rPr>
                <w:rFonts w:ascii="Times New Roman" w:eastAsia="Times New Roman" w:hAnsi="Times New Roman"/>
                <w:sz w:val="24"/>
                <w:szCs w:val="24"/>
              </w:rPr>
              <w:lastRenderedPageBreak/>
              <w:t>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A11ED" w:rsidRPr="002A11ED" w:rsidRDefault="00FD3679" w:rsidP="002A11ED">
            <w:pPr>
              <w:autoSpaceDE w:val="0"/>
              <w:autoSpaceDN w:val="0"/>
              <w:adjustRightInd w:val="0"/>
              <w:spacing w:after="0" w:line="240" w:lineRule="auto"/>
              <w:jc w:val="both"/>
              <w:rPr>
                <w:rFonts w:ascii="Times New Roman" w:hAnsi="Times New Roman"/>
                <w:sz w:val="24"/>
                <w:szCs w:val="24"/>
                <w:lang w:val="uk-UA" w:eastAsia="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w:t>
            </w:r>
            <w:r w:rsidR="002A11ED">
              <w:rPr>
                <w:rFonts w:ascii="Times New Roman" w:eastAsia="Times New Roman" w:hAnsi="Times New Roman"/>
                <w:sz w:val="24"/>
                <w:szCs w:val="24"/>
                <w:highlight w:val="white"/>
                <w:lang w:val="uk-UA"/>
              </w:rPr>
              <w:t xml:space="preserve"> громадян</w:t>
            </w:r>
            <w:r>
              <w:rPr>
                <w:rFonts w:ascii="Times New Roman" w:eastAsia="Times New Roman" w:hAnsi="Times New Roman"/>
                <w:sz w:val="24"/>
                <w:szCs w:val="24"/>
                <w:highlight w:val="white"/>
              </w:rPr>
              <w:t xml:space="preserve">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 Російської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 xml:space="preserve">громадянин Російської Федерації/Республіки </w:t>
            </w:r>
            <w:r w:rsidRPr="002A11ED">
              <w:rPr>
                <w:rFonts w:ascii="Times New Roman" w:hAnsi="Times New Roman"/>
                <w:sz w:val="24"/>
                <w:szCs w:val="24"/>
                <w:lang w:val="uk-UA" w:eastAsia="uk-UA"/>
              </w:rPr>
              <w:lastRenderedPageBreak/>
              <w:t>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p>
          <w:p w:rsidR="00F2061C" w:rsidRPr="002A11ED" w:rsidRDefault="00F2061C" w:rsidP="002A11ED">
            <w:pPr>
              <w:autoSpaceDE w:val="0"/>
              <w:autoSpaceDN w:val="0"/>
              <w:adjustRightInd w:val="0"/>
              <w:spacing w:after="0" w:line="240" w:lineRule="auto"/>
              <w:jc w:val="both"/>
              <w:rPr>
                <w:rFonts w:ascii="Times New Roman" w:hAnsi="Times New Roman"/>
                <w:sz w:val="24"/>
                <w:szCs w:val="24"/>
                <w:lang w:val="uk-UA" w:eastAsia="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 xml:space="preserve">досягнення економії завдяки застосованому технологічному процесу виробництва товарів, </w:t>
            </w:r>
            <w:r w:rsidRPr="00780000">
              <w:rPr>
                <w:rFonts w:ascii="Times New Roman" w:eastAsia="Times New Roman" w:hAnsi="Times New Roman"/>
                <w:color w:val="000000" w:themeColor="text1"/>
                <w:sz w:val="24"/>
                <w:szCs w:val="24"/>
                <w:lang w:val="uk-UA"/>
              </w:rPr>
              <w:lastRenderedPageBreak/>
              <w:t>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780000">
              <w:rPr>
                <w:rFonts w:ascii="Times New Roman" w:eastAsia="Times New Roman" w:hAnsi="Times New Roman"/>
                <w:color w:val="000000" w:themeColor="text1"/>
                <w:sz w:val="24"/>
                <w:szCs w:val="24"/>
                <w:lang w:val="uk-UA" w:eastAsia="ru-RU"/>
              </w:rPr>
              <w:lastRenderedPageBreak/>
              <w:t>органів державної влади, підприємств, установ, 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A11ED" w:rsidRPr="002A11ED" w:rsidRDefault="00823A9B" w:rsidP="002A11ED">
            <w:pPr>
              <w:autoSpaceDE w:val="0"/>
              <w:autoSpaceDN w:val="0"/>
              <w:adjustRightInd w:val="0"/>
              <w:spacing w:after="0" w:line="240" w:lineRule="auto"/>
              <w:jc w:val="both"/>
              <w:rPr>
                <w:rFonts w:ascii="Times New Roman" w:hAnsi="Times New Roman"/>
                <w:sz w:val="24"/>
                <w:szCs w:val="24"/>
                <w:lang w:val="uk-UA" w:eastAsia="uk-UA"/>
              </w:rPr>
            </w:pPr>
            <w:r w:rsidRPr="00562304">
              <w:rPr>
                <w:rFonts w:ascii="Times New Roman" w:eastAsia="Times New Roman" w:hAnsi="Times New Roman"/>
                <w:color w:val="000000" w:themeColor="text1"/>
                <w:sz w:val="24"/>
                <w:szCs w:val="24"/>
                <w:highlight w:val="white"/>
              </w:rPr>
              <w:t xml:space="preserve">є громадянином </w:t>
            </w:r>
            <w:r w:rsidR="002A11ED" w:rsidRPr="002A11ED">
              <w:rPr>
                <w:rFonts w:ascii="Times New Roman" w:hAnsi="Times New Roman"/>
                <w:sz w:val="24"/>
                <w:szCs w:val="24"/>
                <w:lang w:val="uk-UA" w:eastAsia="uk-UA"/>
              </w:rPr>
              <w:t>Російської Федерації/Республіки Білорусь/</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Ісламської Республіки Іран (крім того, що проживає на території України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на законних підставах); юридичною особою, утвореною та зареєстрованою</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відповідно до законодавства</w:t>
            </w:r>
            <w:proofErr w:type="gramStart"/>
            <w:r w:rsidR="002A11ED" w:rsidRPr="002A11ED">
              <w:rPr>
                <w:rFonts w:ascii="Times New Roman" w:hAnsi="Times New Roman"/>
                <w:sz w:val="24"/>
                <w:szCs w:val="24"/>
                <w:lang w:val="uk-UA" w:eastAsia="uk-UA"/>
              </w:rPr>
              <w:t xml:space="preserve"> Р</w:t>
            </w:r>
            <w:proofErr w:type="gramEnd"/>
            <w:r w:rsidR="002A11ED" w:rsidRPr="002A11ED">
              <w:rPr>
                <w:rFonts w:ascii="Times New Roman" w:hAnsi="Times New Roman"/>
                <w:sz w:val="24"/>
                <w:szCs w:val="24"/>
                <w:lang w:val="uk-UA" w:eastAsia="uk-UA"/>
              </w:rPr>
              <w:t>осійської Федерації/Республіки</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Білорусь/Ісламської Республіки Іран; юридичною особою, утвореною та</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зареєстрованою відповідно до законодавства України, кінцевим</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бенефіціарним власником, членом або учасником (акціонером), що має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частку в статутному капіталі 10 і більше відсотків (далі — активи), якої є</w:t>
            </w:r>
            <w:r w:rsidR="002A11ED">
              <w:rPr>
                <w:rFonts w:ascii="Times New Roman" w:hAnsi="Times New Roman"/>
                <w:sz w:val="24"/>
                <w:szCs w:val="24"/>
                <w:lang w:val="uk-UA" w:eastAsia="uk-UA"/>
              </w:rPr>
              <w:t xml:space="preserve"> </w:t>
            </w:r>
            <w:r w:rsidR="002A11ED" w:rsidRPr="002A11ED">
              <w:rPr>
                <w:rFonts w:ascii="Times New Roman" w:hAnsi="Times New Roman"/>
                <w:sz w:val="24"/>
                <w:szCs w:val="24"/>
                <w:lang w:val="uk-UA" w:eastAsia="uk-UA"/>
              </w:rPr>
              <w:t>Російська Федерація/Республіка Білорусь/Ісламська Республіка Іран,</w:t>
            </w:r>
          </w:p>
          <w:p w:rsidR="002A11ED"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 xml:space="preserve">громадянин Російської Федерації/Республіки </w:t>
            </w:r>
            <w:r w:rsidRPr="002A11ED">
              <w:rPr>
                <w:rFonts w:ascii="Times New Roman" w:hAnsi="Times New Roman"/>
                <w:sz w:val="24"/>
                <w:szCs w:val="24"/>
                <w:lang w:val="uk-UA" w:eastAsia="uk-UA"/>
              </w:rPr>
              <w:lastRenderedPageBreak/>
              <w:t>Білорусь/Ісламської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Республіки Іран (крім того, що проживає на території України на законних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підставах), або юридичною особою, утвореною та зареєстрованою</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відповідно до законодавства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Білорусь/Ісламської Республіки Іран, крім випадків, коли активи в</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установленому законодавством порядку передані в управління АРМА;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пропонує в тендерній пропозиції товари походженням з Російської</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Федерації/Республіки Білорусь/Ісламської Республіки Іран (за винятком</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товарів походженням з Російської Федерації/Республіки Білорусь</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необхідних для ремонту та обслуговування товарів, придбаних до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набрання чинності постановою Кабінету Міністрів України від 12 жовтня</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2022 р. № 1178 “Про затвердження особливостей здійснення публічних</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закупівель товарів, робіт і послуг для замовників, передбачених Законом</w:t>
            </w:r>
          </w:p>
          <w:p w:rsidR="00823A9B" w:rsidRPr="002A11ED" w:rsidRDefault="002A11ED" w:rsidP="002A11ED">
            <w:pPr>
              <w:autoSpaceDE w:val="0"/>
              <w:autoSpaceDN w:val="0"/>
              <w:adjustRightInd w:val="0"/>
              <w:spacing w:after="0" w:line="240" w:lineRule="auto"/>
              <w:jc w:val="both"/>
              <w:rPr>
                <w:rFonts w:ascii="Times New Roman" w:hAnsi="Times New Roman"/>
                <w:sz w:val="24"/>
                <w:szCs w:val="24"/>
                <w:lang w:val="uk-UA" w:eastAsia="uk-UA"/>
              </w:rPr>
            </w:pPr>
            <w:r w:rsidRPr="002A11ED">
              <w:rPr>
                <w:rFonts w:ascii="Times New Roman" w:hAnsi="Times New Roman"/>
                <w:sz w:val="24"/>
                <w:szCs w:val="24"/>
                <w:lang w:val="uk-UA" w:eastAsia="uk-UA"/>
              </w:rPr>
              <w:t>України “Про публічні закупівлі”, на період дії правового режиму</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воєнного стану в Україні та протягом 90 днів з дня його припинення або</w:t>
            </w:r>
            <w:r>
              <w:rPr>
                <w:rFonts w:ascii="Times New Roman" w:hAnsi="Times New Roman"/>
                <w:sz w:val="24"/>
                <w:szCs w:val="24"/>
                <w:lang w:val="uk-UA" w:eastAsia="uk-UA"/>
              </w:rPr>
              <w:t xml:space="preserve"> </w:t>
            </w:r>
            <w:r w:rsidRPr="002A11ED">
              <w:rPr>
                <w:rFonts w:ascii="Times New Roman" w:hAnsi="Times New Roman"/>
                <w:sz w:val="24"/>
                <w:szCs w:val="24"/>
                <w:lang w:val="uk-UA" w:eastAsia="uk-UA"/>
              </w:rPr>
              <w:t>скасування”</w:t>
            </w:r>
            <w:r>
              <w:rPr>
                <w:rFonts w:ascii="Times New Roman" w:hAnsi="Times New Roman"/>
                <w:sz w:val="24"/>
                <w:szCs w:val="24"/>
                <w:lang w:val="uk-UA" w:eastAsia="uk-UA"/>
              </w:rPr>
              <w:t xml:space="preserve"> </w:t>
            </w:r>
            <w:r w:rsidR="00823A9B" w:rsidRPr="00562304">
              <w:rPr>
                <w:rFonts w:ascii="Times New Roman" w:eastAsia="Times New Roman" w:hAnsi="Times New Roman"/>
                <w:color w:val="000000" w:themeColor="text1"/>
                <w:sz w:val="24"/>
                <w:szCs w:val="24"/>
                <w:highlight w:val="white"/>
              </w:rPr>
              <w:t xml:space="preserve">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ідтверджують відсутність </w:t>
            </w:r>
            <w:r w:rsidRPr="00562304">
              <w:rPr>
                <w:rFonts w:ascii="Times New Roman" w:eastAsia="Times New Roman" w:hAnsi="Times New Roman"/>
                <w:color w:val="000000" w:themeColor="text1"/>
                <w:sz w:val="24"/>
                <w:szCs w:val="24"/>
                <w:highlight w:val="white"/>
              </w:rPr>
              <w:lastRenderedPageBreak/>
              <w:t>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3) скорочення обсягу видатків на здійснення закупівлі </w:t>
            </w:r>
            <w:r w:rsidRPr="00562304">
              <w:rPr>
                <w:rFonts w:ascii="Times New Roman" w:hAnsi="Times New Roman"/>
                <w:color w:val="000000" w:themeColor="text1"/>
                <w:sz w:val="24"/>
                <w:szCs w:val="24"/>
                <w:lang w:val="uk-UA" w:eastAsia="ru-RU"/>
              </w:rPr>
              <w:lastRenderedPageBreak/>
              <w:t>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704"/>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AF3FCF" w:rsidRPr="00562304" w:rsidTr="00AF3FCF">
        <w:trPr>
          <w:trHeight w:val="1757"/>
        </w:trPr>
        <w:tc>
          <w:tcPr>
            <w:tcW w:w="738" w:type="dxa"/>
          </w:tcPr>
          <w:p w:rsidR="00AF3FCF" w:rsidRPr="00562304" w:rsidRDefault="00AF3FCF"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AF3FCF" w:rsidRPr="006557D0" w:rsidRDefault="003733C2" w:rsidP="002A11ED">
            <w:pPr>
              <w:spacing w:after="0" w:line="240" w:lineRule="auto"/>
              <w:jc w:val="both"/>
              <w:rPr>
                <w:rFonts w:ascii="Times New Roman" w:hAnsi="Times New Roman"/>
                <w:lang w:val="uk-UA"/>
              </w:rPr>
            </w:pPr>
            <w:r w:rsidRPr="000A74B5">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AF3FCF" w:rsidRPr="00C32516" w:rsidRDefault="003733C2" w:rsidP="00C32516">
            <w:pPr>
              <w:pBdr>
                <w:top w:val="nil"/>
                <w:left w:val="nil"/>
                <w:bottom w:val="nil"/>
                <w:right w:val="nil"/>
                <w:between w:val="nil"/>
              </w:pBdr>
              <w:ind w:left="5" w:firstLine="284"/>
              <w:jc w:val="both"/>
              <w:rPr>
                <w:rFonts w:ascii="Times New Roman" w:eastAsia="Times New Roman" w:hAnsi="Times New Roman"/>
                <w:sz w:val="20"/>
                <w:szCs w:val="20"/>
                <w:lang w:val="uk-UA"/>
              </w:rPr>
            </w:pPr>
            <w:r w:rsidRPr="000A74B5">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44540A">
              <w:rPr>
                <w:rFonts w:ascii="Times New Roman" w:hAnsi="Times New Roman"/>
                <w:lang w:val="uk-UA"/>
              </w:rPr>
              <w:t xml:space="preserve"> в довільній формі</w:t>
            </w:r>
            <w:r w:rsidRPr="000A74B5">
              <w:rPr>
                <w:rFonts w:ascii="Times New Roman" w:hAnsi="Times New Roman"/>
                <w:lang w:val="uk-UA"/>
              </w:rPr>
              <w:t xml:space="preserve">. Для підтвердження інформації наведеної у довідці учасник має надати копію аналогічного договору з усіма додатками до нього та копію документу(ів), </w:t>
            </w:r>
            <w:r>
              <w:rPr>
                <w:rFonts w:ascii="Times New Roman" w:hAnsi="Times New Roman"/>
                <w:lang w:val="uk-UA"/>
              </w:rPr>
              <w:t>що підтверджують його</w:t>
            </w:r>
            <w:r w:rsidR="00676356">
              <w:rPr>
                <w:rFonts w:ascii="Times New Roman" w:hAnsi="Times New Roman"/>
                <w:lang w:val="uk-UA"/>
              </w:rPr>
              <w:t xml:space="preserve"> повне </w:t>
            </w:r>
            <w:r>
              <w:rPr>
                <w:rFonts w:ascii="Times New Roman" w:hAnsi="Times New Roman"/>
                <w:lang w:val="uk-UA"/>
              </w:rPr>
              <w:t xml:space="preserve"> виконання </w:t>
            </w:r>
            <w:r w:rsidRPr="00502389">
              <w:rPr>
                <w:rFonts w:ascii="Times New Roman" w:hAnsi="Times New Roman"/>
                <w:lang w:val="uk-UA"/>
              </w:rPr>
              <w:t>(</w:t>
            </w:r>
            <w:r w:rsidRPr="00502389">
              <w:rPr>
                <w:rFonts w:ascii="Times New Roman" w:eastAsia="Times New Roman" w:hAnsi="Times New Roman"/>
              </w:rPr>
              <w:t>лист-відгук чи інший документ (</w:t>
            </w:r>
            <w:r>
              <w:rPr>
                <w:rFonts w:ascii="Times New Roman" w:eastAsia="Times New Roman" w:hAnsi="Times New Roman"/>
              </w:rPr>
              <w:t>ак</w:t>
            </w:r>
            <w:r>
              <w:rPr>
                <w:rFonts w:ascii="Times New Roman" w:eastAsia="Times New Roman" w:hAnsi="Times New Roman"/>
                <w:lang w:val="uk-UA"/>
              </w:rPr>
              <w:t>т наданих послуг</w:t>
            </w:r>
            <w:r w:rsidRPr="00502389">
              <w:rPr>
                <w:rFonts w:ascii="Times New Roman" w:eastAsia="Times New Roman" w:hAnsi="Times New Roman"/>
              </w:rPr>
              <w:t>, або інший фінансовий документ).</w:t>
            </w:r>
          </w:p>
        </w:tc>
      </w:tr>
      <w:tr w:rsidR="009E5868" w:rsidRPr="004664D4" w:rsidTr="009E5868">
        <w:trPr>
          <w:trHeight w:val="1757"/>
        </w:trPr>
        <w:tc>
          <w:tcPr>
            <w:tcW w:w="738"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spacing w:after="0" w:line="240" w:lineRule="auto"/>
              <w:jc w:val="center"/>
              <w:rPr>
                <w:rFonts w:ascii="Times New Roman" w:hAnsi="Times New Roman"/>
                <w:color w:val="000000" w:themeColor="text1"/>
                <w:sz w:val="24"/>
                <w:szCs w:val="24"/>
                <w:lang w:val="uk-UA"/>
              </w:rPr>
            </w:pPr>
            <w:r w:rsidRPr="009E5868">
              <w:rPr>
                <w:rFonts w:ascii="Times New Roman" w:hAnsi="Times New Roman"/>
                <w:color w:val="000000" w:themeColor="text1"/>
                <w:sz w:val="24"/>
                <w:szCs w:val="24"/>
                <w:lang w:val="uk-UA"/>
              </w:rPr>
              <w:t>2</w:t>
            </w:r>
          </w:p>
        </w:tc>
        <w:tc>
          <w:tcPr>
            <w:tcW w:w="2381"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spacing w:after="0" w:line="240" w:lineRule="auto"/>
              <w:jc w:val="both"/>
              <w:rPr>
                <w:rFonts w:ascii="Times New Roman" w:hAnsi="Times New Roman"/>
                <w:lang w:val="uk-UA"/>
              </w:rPr>
            </w:pPr>
            <w:r w:rsidRPr="009E5868">
              <w:rPr>
                <w:rFonts w:ascii="Times New Roman" w:hAnsi="Times New Roman"/>
                <w:lang w:val="uk-UA"/>
              </w:rPr>
              <w:t>Наявність обладнання, матеріально-технічної бази та технологій</w:t>
            </w:r>
          </w:p>
          <w:p w:rsidR="009E5868" w:rsidRPr="009E5868" w:rsidRDefault="009E5868" w:rsidP="009E5868">
            <w:pPr>
              <w:spacing w:after="0" w:line="240" w:lineRule="auto"/>
              <w:jc w:val="both"/>
              <w:rPr>
                <w:rFonts w:ascii="Times New Roman" w:hAnsi="Times New Roman"/>
                <w:lang w:val="uk-UA"/>
              </w:rPr>
            </w:pPr>
          </w:p>
          <w:p w:rsidR="009E5868" w:rsidRPr="009E5868" w:rsidRDefault="009E5868" w:rsidP="009E5868">
            <w:pPr>
              <w:spacing w:after="0" w:line="240" w:lineRule="auto"/>
              <w:jc w:val="both"/>
              <w:rPr>
                <w:rFonts w:ascii="Times New Roman" w:hAnsi="Times New Roman"/>
                <w:lang w:val="uk-UA"/>
              </w:rPr>
            </w:pPr>
          </w:p>
        </w:tc>
        <w:tc>
          <w:tcPr>
            <w:tcW w:w="6402"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 xml:space="preserve">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9E5868" w:rsidRPr="00CD5F90" w:rsidTr="009E5868">
        <w:trPr>
          <w:trHeight w:val="1757"/>
        </w:trPr>
        <w:tc>
          <w:tcPr>
            <w:tcW w:w="738"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spacing w:after="0" w:line="240" w:lineRule="auto"/>
              <w:jc w:val="center"/>
              <w:rPr>
                <w:rFonts w:ascii="Times New Roman" w:hAnsi="Times New Roman"/>
                <w:color w:val="000000" w:themeColor="text1"/>
                <w:sz w:val="24"/>
                <w:szCs w:val="24"/>
                <w:lang w:val="uk-UA"/>
              </w:rPr>
            </w:pPr>
            <w:r w:rsidRPr="009E5868">
              <w:rPr>
                <w:rFonts w:ascii="Times New Roman" w:hAnsi="Times New Roman"/>
                <w:color w:val="000000" w:themeColor="text1"/>
                <w:sz w:val="24"/>
                <w:szCs w:val="24"/>
                <w:lang w:val="uk-UA"/>
              </w:rPr>
              <w:t>3</w:t>
            </w:r>
          </w:p>
        </w:tc>
        <w:tc>
          <w:tcPr>
            <w:tcW w:w="2381"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spacing w:after="0" w:line="240" w:lineRule="auto"/>
              <w:jc w:val="both"/>
              <w:rPr>
                <w:rFonts w:ascii="Times New Roman" w:hAnsi="Times New Roman"/>
                <w:lang w:val="uk-UA"/>
              </w:rPr>
            </w:pPr>
            <w:r w:rsidRPr="009E5868">
              <w:rPr>
                <w:rFonts w:ascii="Times New Roman" w:hAnsi="Times New Roman"/>
                <w:lang w:val="uk-UA"/>
              </w:rPr>
              <w:t>Наявність працівників відповідної кваліфікації, які мають необхідні знання та досвід</w:t>
            </w:r>
          </w:p>
          <w:p w:rsidR="009E5868" w:rsidRPr="009E5868" w:rsidRDefault="009E5868" w:rsidP="009E5868">
            <w:pPr>
              <w:spacing w:after="0" w:line="240" w:lineRule="auto"/>
              <w:jc w:val="both"/>
              <w:rPr>
                <w:rFonts w:ascii="Times New Roman" w:hAnsi="Times New Roman"/>
                <w:lang w:val="uk-UA"/>
              </w:rPr>
            </w:pPr>
          </w:p>
        </w:tc>
        <w:tc>
          <w:tcPr>
            <w:tcW w:w="6402" w:type="dxa"/>
            <w:tcBorders>
              <w:top w:val="single" w:sz="4" w:space="0" w:color="auto"/>
              <w:left w:val="single" w:sz="4" w:space="0" w:color="auto"/>
              <w:bottom w:val="single" w:sz="4" w:space="0" w:color="auto"/>
              <w:right w:val="single" w:sz="4" w:space="0" w:color="auto"/>
            </w:tcBorders>
          </w:tcPr>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 xml:space="preserve">   Довідка про наявність працівників відповідної кваліфікації, які мають необхідні знання та досвід, за формою Таблиці 1.</w:t>
            </w:r>
          </w:p>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Таблиця 1  </w:t>
            </w:r>
          </w:p>
          <w:tbl>
            <w:tblPr>
              <w:tblW w:w="6478" w:type="dxa"/>
              <w:tblLook w:val="0400" w:firstRow="0" w:lastRow="0" w:firstColumn="0" w:lastColumn="0" w:noHBand="0" w:noVBand="1"/>
            </w:tblPr>
            <w:tblGrid>
              <w:gridCol w:w="608"/>
              <w:gridCol w:w="1600"/>
              <w:gridCol w:w="2357"/>
              <w:gridCol w:w="1913"/>
            </w:tblGrid>
            <w:tr w:rsidR="009E5868" w:rsidRPr="00CD5F90" w:rsidTr="009E5868">
              <w:tc>
                <w:tcPr>
                  <w:tcW w:w="6478" w:type="dxa"/>
                  <w:gridSpan w:val="4"/>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jc w:val="center"/>
                    <w:rPr>
                      <w:rFonts w:ascii="Times New Roman" w:eastAsia="Times New Roman" w:hAnsi="Times New Roman"/>
                      <w:sz w:val="24"/>
                      <w:szCs w:val="24"/>
                    </w:rPr>
                  </w:pPr>
                  <w:r w:rsidRPr="00CD5F90">
                    <w:rPr>
                      <w:rFonts w:ascii="Times New Roman" w:eastAsia="Times New Roman" w:hAnsi="Times New Roman"/>
                      <w:color w:val="000000"/>
                      <w:sz w:val="24"/>
                      <w:szCs w:val="24"/>
                    </w:rPr>
                    <w:t xml:space="preserve">Довідка про наявність працівників </w:t>
                  </w:r>
                  <w:proofErr w:type="gramStart"/>
                  <w:r w:rsidRPr="00CD5F90">
                    <w:rPr>
                      <w:rFonts w:ascii="Times New Roman" w:eastAsia="Times New Roman" w:hAnsi="Times New Roman"/>
                      <w:color w:val="000000"/>
                      <w:sz w:val="24"/>
                      <w:szCs w:val="24"/>
                    </w:rPr>
                    <w:t>в</w:t>
                  </w:r>
                  <w:proofErr w:type="gramEnd"/>
                  <w:r w:rsidRPr="00CD5F90">
                    <w:rPr>
                      <w:rFonts w:ascii="Times New Roman" w:eastAsia="Times New Roman" w:hAnsi="Times New Roman"/>
                      <w:color w:val="000000"/>
                      <w:sz w:val="24"/>
                      <w:szCs w:val="24"/>
                    </w:rPr>
                    <w:t>ідповідної кваліфікації, які мають необхідні знання та досвід</w:t>
                  </w:r>
                </w:p>
              </w:tc>
            </w:tr>
            <w:tr w:rsidR="009E5868" w:rsidRPr="00CD5F90" w:rsidTr="009E5868">
              <w:tc>
                <w:tcPr>
                  <w:tcW w:w="608"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proofErr w:type="gramStart"/>
                  <w:r w:rsidRPr="00CD5F90">
                    <w:rPr>
                      <w:rFonts w:ascii="Times New Roman" w:eastAsia="Times New Roman" w:hAnsi="Times New Roman"/>
                      <w:color w:val="000000" w:themeColor="text1"/>
                      <w:sz w:val="24"/>
                      <w:szCs w:val="24"/>
                    </w:rPr>
                    <w:t>П</w:t>
                  </w:r>
                  <w:proofErr w:type="gramEnd"/>
                  <w:r w:rsidRPr="00CD5F90">
                    <w:rPr>
                      <w:rFonts w:ascii="Times New Roman" w:eastAsia="Times New Roman" w:hAnsi="Times New Roman"/>
                      <w:color w:val="000000" w:themeColor="text1"/>
                      <w:sz w:val="24"/>
                      <w:szCs w:val="24"/>
                    </w:rPr>
                    <w:t>ІБ</w:t>
                  </w:r>
                </w:p>
              </w:tc>
              <w:tc>
                <w:tcPr>
                  <w:tcW w:w="1600"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Кваліфікація/</w:t>
                  </w:r>
                </w:p>
                <w:p w:rsidR="009E5868" w:rsidRPr="00CD5F90" w:rsidRDefault="009E5868" w:rsidP="009E5868">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посада</w:t>
                  </w:r>
                </w:p>
              </w:tc>
              <w:tc>
                <w:tcPr>
                  <w:tcW w:w="2357"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r w:rsidRPr="00CD5F90">
                    <w:rPr>
                      <w:rFonts w:ascii="Times New Roman" w:eastAsia="Times New Roman" w:hAnsi="Times New Roman"/>
                      <w:color w:val="000000" w:themeColor="text1"/>
                      <w:sz w:val="24"/>
                      <w:szCs w:val="24"/>
                    </w:rPr>
                    <w:t>Загальний стаж роботи</w:t>
                  </w:r>
                </w:p>
              </w:tc>
              <w:tc>
                <w:tcPr>
                  <w:tcW w:w="1913"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Працівник учасник</w:t>
                  </w:r>
                  <w:r>
                    <w:rPr>
                      <w:rFonts w:ascii="Times New Roman" w:eastAsia="Times New Roman" w:hAnsi="Times New Roman"/>
                      <w:color w:val="000000" w:themeColor="text1"/>
                      <w:sz w:val="24"/>
                      <w:szCs w:val="24"/>
                      <w:lang w:val="uk-UA"/>
                    </w:rPr>
                    <w:t>а</w:t>
                  </w:r>
                </w:p>
              </w:tc>
            </w:tr>
            <w:tr w:rsidR="009E5868" w:rsidRPr="00CD5F90" w:rsidTr="009E5868">
              <w:tc>
                <w:tcPr>
                  <w:tcW w:w="608"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p>
              </w:tc>
              <w:tc>
                <w:tcPr>
                  <w:tcW w:w="1600"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p>
              </w:tc>
              <w:tc>
                <w:tcPr>
                  <w:tcW w:w="2357"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9E5868" w:rsidRPr="00CD5F90" w:rsidRDefault="009E5868" w:rsidP="009E5868">
                  <w:pPr>
                    <w:spacing w:after="0" w:line="240" w:lineRule="auto"/>
                    <w:rPr>
                      <w:rFonts w:ascii="Times New Roman" w:eastAsia="Times New Roman" w:hAnsi="Times New Roman"/>
                      <w:color w:val="000000" w:themeColor="text1"/>
                      <w:sz w:val="24"/>
                      <w:szCs w:val="24"/>
                    </w:rPr>
                  </w:pPr>
                </w:p>
              </w:tc>
            </w:tr>
          </w:tbl>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p>
          <w:p w:rsidR="009E5868" w:rsidRPr="009E5868" w:rsidRDefault="009E5868" w:rsidP="009E5868">
            <w:pPr>
              <w:pBdr>
                <w:top w:val="nil"/>
                <w:left w:val="nil"/>
                <w:bottom w:val="nil"/>
                <w:right w:val="nil"/>
                <w:between w:val="nil"/>
              </w:pBdr>
              <w:ind w:left="5" w:firstLine="284"/>
              <w:jc w:val="both"/>
              <w:rPr>
                <w:rFonts w:ascii="Times New Roman" w:hAnsi="Times New Roman"/>
                <w:lang w:val="uk-UA"/>
              </w:rPr>
            </w:pPr>
            <w:r w:rsidRPr="009E5868">
              <w:rPr>
                <w:rFonts w:ascii="Times New Roman" w:hAnsi="Times New Roman"/>
                <w:lang w:val="uk-UA"/>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(наприклад: виписка з наказу,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lastRenderedPageBreak/>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087"/>
      </w:tblGrid>
      <w:tr w:rsidR="00562304" w:rsidRPr="00562304" w:rsidTr="009C46C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9C46C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t>Платник податку</w:t>
            </w:r>
          </w:p>
        </w:tc>
        <w:tc>
          <w:tcPr>
            <w:tcW w:w="7087"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копія свідоцтва про реєстрацію платника ПДВ або витягу з реєстру платників ПДВ (якщоУчасник є платником ПДВ) або платника єдиного 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762360" w:rsidRPr="009F5EDF" w:rsidTr="00762360">
        <w:trPr>
          <w:trHeight w:val="375"/>
        </w:trPr>
        <w:tc>
          <w:tcPr>
            <w:tcW w:w="2411" w:type="dxa"/>
            <w:tcBorders>
              <w:top w:val="single" w:sz="4" w:space="0" w:color="000000"/>
              <w:left w:val="single" w:sz="4" w:space="0" w:color="000000"/>
              <w:bottom w:val="single" w:sz="4" w:space="0" w:color="000000"/>
              <w:right w:val="nil"/>
            </w:tcBorders>
          </w:tcPr>
          <w:p w:rsidR="00762360" w:rsidRPr="009F5EDF" w:rsidRDefault="00762360" w:rsidP="002F7D5F">
            <w:pPr>
              <w:contextualSpacing/>
              <w:rPr>
                <w:rFonts w:ascii="Times New Roman" w:hAnsi="Times New Roman"/>
                <w:bCs/>
                <w:color w:val="000000" w:themeColor="text1"/>
                <w:sz w:val="24"/>
                <w:szCs w:val="24"/>
                <w:lang w:val="uk-UA"/>
              </w:rPr>
            </w:pPr>
            <w:bookmarkStart w:id="4" w:name="_GoBack"/>
            <w:bookmarkEnd w:id="4"/>
            <w:r w:rsidRPr="009F5EDF">
              <w:rPr>
                <w:rFonts w:ascii="Times New Roman" w:hAnsi="Times New Roman"/>
                <w:bCs/>
                <w:color w:val="000000" w:themeColor="text1"/>
                <w:sz w:val="24"/>
                <w:szCs w:val="24"/>
                <w:lang w:val="uk-UA"/>
              </w:rPr>
              <w:t>Документи дозвільного характеру</w:t>
            </w:r>
          </w:p>
        </w:tc>
        <w:tc>
          <w:tcPr>
            <w:tcW w:w="7087" w:type="dxa"/>
            <w:tcBorders>
              <w:top w:val="single" w:sz="4" w:space="0" w:color="000000"/>
              <w:left w:val="single" w:sz="4" w:space="0" w:color="000000"/>
              <w:bottom w:val="single" w:sz="4" w:space="0" w:color="000000"/>
              <w:right w:val="single" w:sz="4" w:space="0" w:color="000000"/>
            </w:tcBorders>
          </w:tcPr>
          <w:p w:rsidR="00762360" w:rsidRPr="009F5EDF" w:rsidRDefault="00762360" w:rsidP="009E5868">
            <w:pPr>
              <w:spacing w:after="120"/>
              <w:jc w:val="both"/>
              <w:rPr>
                <w:rFonts w:ascii="Times New Roman" w:hAnsi="Times New Roman"/>
                <w:color w:val="000000" w:themeColor="text1"/>
                <w:sz w:val="24"/>
                <w:szCs w:val="24"/>
                <w:lang w:val="uk-UA"/>
              </w:rPr>
            </w:pPr>
            <w:r w:rsidRPr="009F5EDF">
              <w:rPr>
                <w:rFonts w:ascii="Times New Roman" w:hAnsi="Times New Roman"/>
                <w:color w:val="000000" w:themeColor="text1"/>
                <w:sz w:val="24"/>
                <w:szCs w:val="24"/>
                <w:lang w:val="uk-UA"/>
              </w:rPr>
              <w:t>Ліцензію (документ дозвільного характеру) на право здійснювати даний вид господарської діяльності (якщо 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w:t>
            </w:r>
          </w:p>
        </w:tc>
      </w:tr>
    </w:tbl>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w:t>
      </w:r>
      <w:r>
        <w:rPr>
          <w:rFonts w:ascii="Times New Roman" w:eastAsia="Times New Roman" w:hAnsi="Times New Roman"/>
          <w:sz w:val="20"/>
          <w:szCs w:val="20"/>
        </w:rPr>
        <w:lastRenderedPageBreak/>
        <w:t xml:space="preserve">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A11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A11ED">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A11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A11ED">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A11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b/>
                <w:sz w:val="20"/>
                <w:szCs w:val="20"/>
              </w:rPr>
            </w:pPr>
          </w:p>
        </w:tc>
      </w:tr>
      <w:tr w:rsidR="00420606" w:rsidRPr="00420606" w:rsidTr="002A11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A11ED">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A11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A11ED">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A11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A11ED">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Pr>
                <w:rFonts w:ascii="Times New Roman" w:eastAsia="Times New Roman" w:hAnsi="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A11ED">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A11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A11ED">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A11ED">
            <w:pPr>
              <w:spacing w:after="0" w:line="240" w:lineRule="auto"/>
              <w:jc w:val="both"/>
              <w:rPr>
                <w:rFonts w:ascii="Times New Roman" w:eastAsia="Times New Roman" w:hAnsi="Times New Roman"/>
                <w:b/>
                <w:sz w:val="20"/>
                <w:szCs w:val="20"/>
              </w:rPr>
            </w:pP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A11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A11ED">
            <w:pPr>
              <w:widowControl w:val="0"/>
              <w:spacing w:after="0" w:line="276" w:lineRule="auto"/>
              <w:rPr>
                <w:rFonts w:ascii="Times New Roman" w:eastAsia="Times New Roman" w:hAnsi="Times New Roman"/>
                <w:sz w:val="20"/>
                <w:szCs w:val="20"/>
              </w:rPr>
            </w:pPr>
          </w:p>
        </w:tc>
      </w:tr>
      <w:tr w:rsidR="00420606" w:rsidTr="002A11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A11ED">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A11ED">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E2719" w:rsidRPr="00676356" w:rsidRDefault="00676356" w:rsidP="00676356">
      <w:pPr>
        <w:shd w:val="clear" w:color="auto" w:fill="FFFFFF"/>
        <w:spacing w:after="0" w:line="240" w:lineRule="auto"/>
        <w:rPr>
          <w:rFonts w:ascii="Times New Roman" w:eastAsia="Times New Roman" w:hAnsi="Times New Roman"/>
          <w:sz w:val="20"/>
          <w:szCs w:val="20"/>
          <w:lang w:val="uk-UA"/>
        </w:rPr>
      </w:pPr>
      <w:r>
        <w:rPr>
          <w:rFonts w:ascii="Times New Roman" w:eastAsia="Times New Roman" w:hAnsi="Times New Roman"/>
          <w:sz w:val="20"/>
          <w:szCs w:val="20"/>
        </w:rPr>
        <w:t> </w:t>
      </w:r>
    </w:p>
    <w:p w:rsidR="00B01163" w:rsidRPr="00676356" w:rsidRDefault="003F5CBD" w:rsidP="00676356">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 xml:space="preserve">ічна можливість підтвердження учасником відсутності окремих підстав, </w:t>
      </w:r>
      <w:r w:rsidRPr="003F5CBD">
        <w:rPr>
          <w:rFonts w:ascii="Times New Roman" w:eastAsia="Times New Roman" w:hAnsi="Times New Roman"/>
          <w:color w:val="000000" w:themeColor="text1"/>
          <w:sz w:val="24"/>
          <w:szCs w:val="24"/>
        </w:rPr>
        <w:lastRenderedPageBreak/>
        <w:t>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w:t>
      </w:r>
      <w:r w:rsidR="00676356">
        <w:rPr>
          <w:rFonts w:ascii="Times New Roman" w:eastAsia="Times New Roman" w:hAnsi="Times New Roman"/>
          <w:color w:val="000000" w:themeColor="text1"/>
          <w:sz w:val="24"/>
          <w:szCs w:val="24"/>
        </w:rPr>
        <w:t xml:space="preserve"> вимогами пункту 47 Особливосте</w:t>
      </w:r>
      <w:r w:rsidR="00676356">
        <w:rPr>
          <w:rFonts w:ascii="Times New Roman" w:eastAsia="Times New Roman" w:hAnsi="Times New Roman"/>
          <w:color w:val="000000" w:themeColor="text1"/>
          <w:sz w:val="24"/>
          <w:szCs w:val="24"/>
          <w:lang w:val="uk-UA"/>
        </w:rPr>
        <w:t>й.</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76356">
        <w:rPr>
          <w:rFonts w:ascii="Times New Roman" w:hAnsi="Times New Roman"/>
          <w:b/>
          <w:bCs/>
          <w:i/>
          <w:iCs/>
          <w:color w:val="000000" w:themeColor="text1"/>
          <w:sz w:val="20"/>
          <w:szCs w:val="20"/>
          <w:lang w:val="uk-UA"/>
        </w:rPr>
        <w:t xml:space="preserve"> </w:t>
      </w: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676356">
      <w:pPr>
        <w:spacing w:after="0" w:line="240" w:lineRule="auto"/>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676356">
      <w:pPr>
        <w:spacing w:after="0" w:line="240" w:lineRule="auto"/>
        <w:contextualSpacing/>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97F7641"/>
    <w:multiLevelType w:val="hybridMultilevel"/>
    <w:tmpl w:val="CBF2A658"/>
    <w:lvl w:ilvl="0" w:tplc="5E5202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7"/>
  </w:num>
  <w:num w:numId="4">
    <w:abstractNumId w:val="1"/>
  </w:num>
  <w:num w:numId="5">
    <w:abstractNumId w:val="24"/>
  </w:num>
  <w:num w:numId="6">
    <w:abstractNumId w:val="38"/>
  </w:num>
  <w:num w:numId="7">
    <w:abstractNumId w:val="13"/>
  </w:num>
  <w:num w:numId="8">
    <w:abstractNumId w:val="40"/>
  </w:num>
  <w:num w:numId="9">
    <w:abstractNumId w:val="29"/>
  </w:num>
  <w:num w:numId="10">
    <w:abstractNumId w:val="41"/>
  </w:num>
  <w:num w:numId="11">
    <w:abstractNumId w:val="26"/>
  </w:num>
  <w:num w:numId="12">
    <w:abstractNumId w:val="11"/>
  </w:num>
  <w:num w:numId="13">
    <w:abstractNumId w:val="34"/>
  </w:num>
  <w:num w:numId="14">
    <w:abstractNumId w:val="9"/>
  </w:num>
  <w:num w:numId="15">
    <w:abstractNumId w:val="4"/>
  </w:num>
  <w:num w:numId="16">
    <w:abstractNumId w:val="14"/>
  </w:num>
  <w:num w:numId="17">
    <w:abstractNumId w:val="10"/>
  </w:num>
  <w:num w:numId="18">
    <w:abstractNumId w:val="23"/>
  </w:num>
  <w:num w:numId="19">
    <w:abstractNumId w:val="33"/>
  </w:num>
  <w:num w:numId="20">
    <w:abstractNumId w:val="12"/>
  </w:num>
  <w:num w:numId="21">
    <w:abstractNumId w:val="27"/>
  </w:num>
  <w:num w:numId="22">
    <w:abstractNumId w:val="18"/>
  </w:num>
  <w:num w:numId="23">
    <w:abstractNumId w:val="44"/>
  </w:num>
  <w:num w:numId="24">
    <w:abstractNumId w:val="0"/>
  </w:num>
  <w:num w:numId="25">
    <w:abstractNumId w:val="42"/>
  </w:num>
  <w:num w:numId="26">
    <w:abstractNumId w:val="36"/>
  </w:num>
  <w:num w:numId="27">
    <w:abstractNumId w:val="30"/>
  </w:num>
  <w:num w:numId="28">
    <w:abstractNumId w:val="19"/>
  </w:num>
  <w:num w:numId="29">
    <w:abstractNumId w:val="32"/>
  </w:num>
  <w:num w:numId="30">
    <w:abstractNumId w:val="37"/>
  </w:num>
  <w:num w:numId="31">
    <w:abstractNumId w:val="15"/>
  </w:num>
  <w:num w:numId="32">
    <w:abstractNumId w:val="20"/>
  </w:num>
  <w:num w:numId="33">
    <w:abstractNumId w:val="43"/>
  </w:num>
  <w:num w:numId="34">
    <w:abstractNumId w:val="16"/>
  </w:num>
  <w:num w:numId="35">
    <w:abstractNumId w:val="3"/>
  </w:num>
  <w:num w:numId="36">
    <w:abstractNumId w:val="8"/>
  </w:num>
  <w:num w:numId="37">
    <w:abstractNumId w:val="5"/>
  </w:num>
  <w:num w:numId="38">
    <w:abstractNumId w:val="39"/>
  </w:num>
  <w:num w:numId="39">
    <w:abstractNumId w:val="31"/>
  </w:num>
  <w:num w:numId="40">
    <w:abstractNumId w:val="2"/>
  </w:num>
  <w:num w:numId="41">
    <w:abstractNumId w:val="25"/>
  </w:num>
  <w:num w:numId="42">
    <w:abstractNumId w:val="7"/>
  </w:num>
  <w:num w:numId="43">
    <w:abstractNumId w:val="35"/>
  </w:num>
  <w:num w:numId="44">
    <w:abstractNumId w:val="2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B4318"/>
    <w:rsid w:val="000C459B"/>
    <w:rsid w:val="000D395A"/>
    <w:rsid w:val="000D7B16"/>
    <w:rsid w:val="000F3424"/>
    <w:rsid w:val="00105394"/>
    <w:rsid w:val="001073A9"/>
    <w:rsid w:val="00107952"/>
    <w:rsid w:val="001105C5"/>
    <w:rsid w:val="00137455"/>
    <w:rsid w:val="00164776"/>
    <w:rsid w:val="001C7DBD"/>
    <w:rsid w:val="00203466"/>
    <w:rsid w:val="00214656"/>
    <w:rsid w:val="002171DF"/>
    <w:rsid w:val="00244F88"/>
    <w:rsid w:val="00250815"/>
    <w:rsid w:val="00252FEE"/>
    <w:rsid w:val="00262241"/>
    <w:rsid w:val="002626D5"/>
    <w:rsid w:val="002752BC"/>
    <w:rsid w:val="002768B6"/>
    <w:rsid w:val="002A11ED"/>
    <w:rsid w:val="002F7D5F"/>
    <w:rsid w:val="00305604"/>
    <w:rsid w:val="00317E28"/>
    <w:rsid w:val="0034581E"/>
    <w:rsid w:val="003733C2"/>
    <w:rsid w:val="00384CA4"/>
    <w:rsid w:val="003A01EB"/>
    <w:rsid w:val="003B5FEC"/>
    <w:rsid w:val="003F09AB"/>
    <w:rsid w:val="003F5CBD"/>
    <w:rsid w:val="003F640A"/>
    <w:rsid w:val="004041EC"/>
    <w:rsid w:val="00416EAD"/>
    <w:rsid w:val="0041705F"/>
    <w:rsid w:val="00420606"/>
    <w:rsid w:val="00427DE2"/>
    <w:rsid w:val="004411EC"/>
    <w:rsid w:val="004411EF"/>
    <w:rsid w:val="00443016"/>
    <w:rsid w:val="0044540A"/>
    <w:rsid w:val="004661A8"/>
    <w:rsid w:val="004679F6"/>
    <w:rsid w:val="00476667"/>
    <w:rsid w:val="004A4F39"/>
    <w:rsid w:val="004A6C12"/>
    <w:rsid w:val="004B1925"/>
    <w:rsid w:val="004B3D0D"/>
    <w:rsid w:val="004C22C5"/>
    <w:rsid w:val="004E52BB"/>
    <w:rsid w:val="00502299"/>
    <w:rsid w:val="00502948"/>
    <w:rsid w:val="0051609A"/>
    <w:rsid w:val="00517A37"/>
    <w:rsid w:val="00520942"/>
    <w:rsid w:val="00526353"/>
    <w:rsid w:val="00536AE7"/>
    <w:rsid w:val="005539F6"/>
    <w:rsid w:val="00562304"/>
    <w:rsid w:val="00571DE6"/>
    <w:rsid w:val="00581169"/>
    <w:rsid w:val="005B4FF4"/>
    <w:rsid w:val="005C7632"/>
    <w:rsid w:val="005C7937"/>
    <w:rsid w:val="005D29D0"/>
    <w:rsid w:val="005D7385"/>
    <w:rsid w:val="00601FFA"/>
    <w:rsid w:val="00621D5A"/>
    <w:rsid w:val="00624182"/>
    <w:rsid w:val="006244C2"/>
    <w:rsid w:val="0063244A"/>
    <w:rsid w:val="006343C2"/>
    <w:rsid w:val="00676356"/>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62360"/>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46C3"/>
    <w:rsid w:val="009C75F6"/>
    <w:rsid w:val="009E25D1"/>
    <w:rsid w:val="009E5868"/>
    <w:rsid w:val="009F0BE9"/>
    <w:rsid w:val="009F5EDF"/>
    <w:rsid w:val="009F77E7"/>
    <w:rsid w:val="00A054B1"/>
    <w:rsid w:val="00A4221C"/>
    <w:rsid w:val="00A52A40"/>
    <w:rsid w:val="00A85BDC"/>
    <w:rsid w:val="00A91173"/>
    <w:rsid w:val="00A92B81"/>
    <w:rsid w:val="00AA6430"/>
    <w:rsid w:val="00AC2592"/>
    <w:rsid w:val="00AF3FCF"/>
    <w:rsid w:val="00AF776A"/>
    <w:rsid w:val="00B01163"/>
    <w:rsid w:val="00B060FF"/>
    <w:rsid w:val="00B26D05"/>
    <w:rsid w:val="00B31EDD"/>
    <w:rsid w:val="00B413F2"/>
    <w:rsid w:val="00B63D5C"/>
    <w:rsid w:val="00B910E2"/>
    <w:rsid w:val="00BD2644"/>
    <w:rsid w:val="00BD54BF"/>
    <w:rsid w:val="00BD6F43"/>
    <w:rsid w:val="00C07DFA"/>
    <w:rsid w:val="00C112F6"/>
    <w:rsid w:val="00C32516"/>
    <w:rsid w:val="00C371C9"/>
    <w:rsid w:val="00C42478"/>
    <w:rsid w:val="00C46737"/>
    <w:rsid w:val="00C50DAA"/>
    <w:rsid w:val="00C56590"/>
    <w:rsid w:val="00C579E4"/>
    <w:rsid w:val="00C961FE"/>
    <w:rsid w:val="00C96837"/>
    <w:rsid w:val="00C976D0"/>
    <w:rsid w:val="00CB1DF9"/>
    <w:rsid w:val="00CE7419"/>
    <w:rsid w:val="00CE7D1C"/>
    <w:rsid w:val="00CF103F"/>
    <w:rsid w:val="00D0542B"/>
    <w:rsid w:val="00D15244"/>
    <w:rsid w:val="00D15F4A"/>
    <w:rsid w:val="00D27A01"/>
    <w:rsid w:val="00D35FAC"/>
    <w:rsid w:val="00D452FE"/>
    <w:rsid w:val="00D83CCC"/>
    <w:rsid w:val="00D87F98"/>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EF515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 w:type="paragraph" w:customStyle="1" w:styleId="Iauiue1">
    <w:name w:val="Iau?iue1"/>
    <w:rsid w:val="003733C2"/>
    <w:pPr>
      <w:autoSpaceDE w:val="0"/>
      <w:autoSpaceDN w:val="0"/>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roman.zahrai@ukr.net" TargetMode="Externa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CBBE-4DE3-40B3-961E-5E1E4574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8383</Words>
  <Characters>58287</Characters>
  <Application>Microsoft Office Word</Application>
  <DocSecurity>0</DocSecurity>
  <Lines>485</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5</cp:revision>
  <dcterms:created xsi:type="dcterms:W3CDTF">2024-03-28T11:03:00Z</dcterms:created>
  <dcterms:modified xsi:type="dcterms:W3CDTF">2024-03-28T11:06:00Z</dcterms:modified>
</cp:coreProperties>
</file>