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F44C" w14:textId="77777777" w:rsidR="00FC1C7C" w:rsidRPr="00BC35C5" w:rsidRDefault="00FC1C7C" w:rsidP="00FC1C7C">
      <w:pPr>
        <w:spacing w:line="240" w:lineRule="auto"/>
        <w:jc w:val="center"/>
        <w:rPr>
          <w:rFonts w:ascii="Times New Roman" w:hAnsi="Times New Roman"/>
          <w:b/>
          <w:bCs/>
          <w:sz w:val="24"/>
          <w:szCs w:val="24"/>
        </w:rPr>
      </w:pPr>
      <w:r w:rsidRPr="00BC35C5">
        <w:rPr>
          <w:rFonts w:ascii="Times New Roman" w:hAnsi="Times New Roman"/>
          <w:b/>
          <w:bCs/>
          <w:sz w:val="24"/>
          <w:szCs w:val="24"/>
        </w:rPr>
        <w:t>Департамент економіки та розвитку Черкаської міської ради</w:t>
      </w:r>
    </w:p>
    <w:p w14:paraId="44E7FEAC" w14:textId="77777777" w:rsidR="006E54D0" w:rsidRPr="00BC35C5" w:rsidRDefault="000019E9" w:rsidP="00EC4DA8">
      <w:pPr>
        <w:jc w:val="center"/>
        <w:rPr>
          <w:rFonts w:ascii="Times New Roman" w:hAnsi="Times New Roman" w:cs="Times New Roman"/>
          <w:b/>
          <w:sz w:val="24"/>
          <w:szCs w:val="24"/>
        </w:rPr>
      </w:pPr>
      <w:r w:rsidRPr="00BC35C5">
        <w:rPr>
          <w:rFonts w:ascii="Times New Roman" w:hAnsi="Times New Roman" w:cs="Times New Roman"/>
          <w:b/>
          <w:sz w:val="24"/>
          <w:szCs w:val="24"/>
        </w:rPr>
        <w:t>ПЕРЕЛІК ЗМІН</w:t>
      </w:r>
      <w:r w:rsidR="00BD22E8" w:rsidRPr="00BC35C5">
        <w:rPr>
          <w:rFonts w:ascii="Times New Roman" w:hAnsi="Times New Roman" w:cs="Times New Roman"/>
          <w:b/>
          <w:sz w:val="24"/>
          <w:szCs w:val="24"/>
        </w:rPr>
        <w:t xml:space="preserve"> ДО ТЕНДЕРНОЇ ДОКУМЕНТАЦІЇ</w:t>
      </w:r>
    </w:p>
    <w:p w14:paraId="1321D804" w14:textId="77777777" w:rsidR="000019E9" w:rsidRPr="00BC35C5" w:rsidRDefault="000019E9" w:rsidP="003F639B">
      <w:pPr>
        <w:spacing w:after="0" w:line="240" w:lineRule="auto"/>
        <w:jc w:val="center"/>
        <w:rPr>
          <w:rFonts w:ascii="Times New Roman" w:eastAsia="Times New Roman" w:hAnsi="Times New Roman"/>
          <w:b/>
          <w:snapToGrid w:val="0"/>
          <w:sz w:val="24"/>
          <w:szCs w:val="24"/>
          <w:lang w:eastAsia="ru-RU"/>
        </w:rPr>
      </w:pPr>
      <w:r w:rsidRPr="00BC35C5">
        <w:rPr>
          <w:rFonts w:ascii="Times New Roman" w:eastAsia="Times New Roman" w:hAnsi="Times New Roman"/>
          <w:b/>
          <w:snapToGrid w:val="0"/>
          <w:sz w:val="24"/>
          <w:szCs w:val="24"/>
          <w:lang w:eastAsia="ru-RU"/>
        </w:rPr>
        <w:t xml:space="preserve">щодо проведення процедури </w:t>
      </w:r>
      <w:r w:rsidR="00FF54C7" w:rsidRPr="00BC35C5">
        <w:rPr>
          <w:rFonts w:ascii="Times New Roman" w:eastAsia="Times New Roman" w:hAnsi="Times New Roman"/>
          <w:b/>
          <w:sz w:val="24"/>
          <w:szCs w:val="24"/>
          <w:lang w:eastAsia="ru-RU"/>
        </w:rPr>
        <w:t>відкриті торги для закупівлі енергосервісу</w:t>
      </w:r>
      <w:r w:rsidRPr="00BC35C5">
        <w:rPr>
          <w:rFonts w:ascii="Times New Roman" w:eastAsia="Times New Roman" w:hAnsi="Times New Roman"/>
          <w:b/>
          <w:sz w:val="24"/>
          <w:szCs w:val="24"/>
          <w:lang w:eastAsia="ru-RU"/>
        </w:rPr>
        <w:t xml:space="preserve"> за предметом</w:t>
      </w:r>
      <w:r w:rsidR="003F639B" w:rsidRPr="00BC35C5">
        <w:rPr>
          <w:rFonts w:ascii="Times New Roman" w:eastAsia="Times New Roman" w:hAnsi="Times New Roman"/>
          <w:b/>
          <w:snapToGrid w:val="0"/>
          <w:sz w:val="24"/>
          <w:szCs w:val="24"/>
          <w:lang w:eastAsia="ru-RU"/>
        </w:rPr>
        <w:t>:</w:t>
      </w:r>
    </w:p>
    <w:tbl>
      <w:tblPr>
        <w:tblW w:w="10598" w:type="dxa"/>
        <w:tblInd w:w="-1036" w:type="dxa"/>
        <w:tblLayout w:type="fixed"/>
        <w:tblLook w:val="0000" w:firstRow="0" w:lastRow="0" w:firstColumn="0" w:lastColumn="0" w:noHBand="0" w:noVBand="0"/>
      </w:tblPr>
      <w:tblGrid>
        <w:gridCol w:w="10598"/>
      </w:tblGrid>
      <w:tr w:rsidR="000019E9" w:rsidRPr="00BC35C5" w14:paraId="2C8C0DFC" w14:textId="77777777" w:rsidTr="002B7423">
        <w:tc>
          <w:tcPr>
            <w:tcW w:w="10598" w:type="dxa"/>
            <w:tcBorders>
              <w:top w:val="nil"/>
              <w:left w:val="nil"/>
              <w:bottom w:val="nil"/>
              <w:right w:val="nil"/>
            </w:tcBorders>
          </w:tcPr>
          <w:p w14:paraId="1468C887" w14:textId="77777777" w:rsidR="00FC1C7C" w:rsidRPr="00BC35C5" w:rsidRDefault="00FC1C7C" w:rsidP="00FC1C7C">
            <w:pPr>
              <w:spacing w:after="0" w:line="240" w:lineRule="auto"/>
              <w:jc w:val="center"/>
              <w:rPr>
                <w:rFonts w:ascii="Times New Roman" w:eastAsia="Times New Roman" w:hAnsi="Times New Roman" w:cs="Times New Roman"/>
                <w:b/>
                <w:iCs/>
                <w:sz w:val="24"/>
                <w:szCs w:val="24"/>
                <w:lang w:eastAsia="ru-RU"/>
              </w:rPr>
            </w:pPr>
            <w:r w:rsidRPr="00BC35C5">
              <w:rPr>
                <w:rFonts w:ascii="Times New Roman" w:eastAsia="Times New Roman" w:hAnsi="Times New Roman" w:cs="Times New Roman"/>
                <w:b/>
                <w:iCs/>
                <w:sz w:val="24"/>
                <w:szCs w:val="24"/>
                <w:lang w:eastAsia="ru-RU"/>
              </w:rPr>
              <w:t xml:space="preserve">Енергосервіс будівлі Черкаської міської ради </w:t>
            </w:r>
          </w:p>
          <w:p w14:paraId="12E1A9EE" w14:textId="77777777" w:rsidR="00FC1C7C" w:rsidRPr="00BC35C5" w:rsidRDefault="00FC1C7C" w:rsidP="00FC1C7C">
            <w:pPr>
              <w:spacing w:after="0" w:line="240" w:lineRule="auto"/>
              <w:jc w:val="center"/>
              <w:rPr>
                <w:rFonts w:ascii="Times New Roman" w:eastAsia="Times New Roman" w:hAnsi="Times New Roman" w:cs="Times New Roman"/>
                <w:b/>
                <w:iCs/>
                <w:sz w:val="24"/>
                <w:szCs w:val="24"/>
                <w:lang w:eastAsia="ru-RU"/>
              </w:rPr>
            </w:pPr>
            <w:r w:rsidRPr="00BC35C5">
              <w:rPr>
                <w:rFonts w:ascii="Times New Roman" w:eastAsia="Times New Roman" w:hAnsi="Times New Roman" w:cs="Times New Roman"/>
                <w:b/>
                <w:iCs/>
                <w:sz w:val="24"/>
                <w:szCs w:val="24"/>
                <w:lang w:eastAsia="ru-RU"/>
              </w:rPr>
              <w:t>за кодом ДК 021:2015 99999999-9 Не відображене в інших розділах</w:t>
            </w:r>
          </w:p>
          <w:p w14:paraId="7640BC7D" w14:textId="77777777" w:rsidR="000019E9" w:rsidRPr="00BC35C5" w:rsidRDefault="000019E9" w:rsidP="00D624EF">
            <w:pPr>
              <w:spacing w:after="0" w:line="240" w:lineRule="auto"/>
              <w:jc w:val="center"/>
              <w:rPr>
                <w:rFonts w:ascii="Times New Roman" w:eastAsia="Times New Roman" w:hAnsi="Times New Roman" w:cs="Calibri"/>
                <w:iCs/>
                <w:sz w:val="24"/>
                <w:szCs w:val="24"/>
                <w:lang w:eastAsia="ru-RU"/>
              </w:rPr>
            </w:pPr>
          </w:p>
        </w:tc>
      </w:tr>
    </w:tbl>
    <w:p w14:paraId="140138B8" w14:textId="77777777" w:rsidR="000019E9" w:rsidRPr="00BC35C5" w:rsidRDefault="000019E9" w:rsidP="00B404A6">
      <w:pPr>
        <w:spacing w:after="0"/>
        <w:jc w:val="center"/>
        <w:rPr>
          <w:rFonts w:ascii="Times New Roman" w:hAnsi="Times New Roman" w:cs="Times New Roman"/>
          <w:sz w:val="24"/>
          <w:szCs w:val="24"/>
        </w:rPr>
      </w:pPr>
    </w:p>
    <w:tbl>
      <w:tblPr>
        <w:tblStyle w:val="TableGrid"/>
        <w:tblW w:w="10627" w:type="dxa"/>
        <w:tblInd w:w="-998" w:type="dxa"/>
        <w:tblLook w:val="04A0" w:firstRow="1" w:lastRow="0" w:firstColumn="1" w:lastColumn="0" w:noHBand="0" w:noVBand="1"/>
      </w:tblPr>
      <w:tblGrid>
        <w:gridCol w:w="5362"/>
        <w:gridCol w:w="5265"/>
      </w:tblGrid>
      <w:tr w:rsidR="00FF54C7" w:rsidRPr="00BC35C5" w14:paraId="033E333E" w14:textId="77777777" w:rsidTr="00FF54C7">
        <w:trPr>
          <w:trHeight w:val="476"/>
        </w:trPr>
        <w:tc>
          <w:tcPr>
            <w:tcW w:w="5362" w:type="dxa"/>
          </w:tcPr>
          <w:p w14:paraId="0DE998DA" w14:textId="77777777" w:rsidR="00FF54C7" w:rsidRPr="00BC35C5" w:rsidRDefault="00FF54C7" w:rsidP="00C1134C">
            <w:pPr>
              <w:jc w:val="center"/>
              <w:rPr>
                <w:rFonts w:ascii="Times New Roman" w:hAnsi="Times New Roman" w:cs="Times New Roman"/>
                <w:b/>
                <w:i/>
                <w:sz w:val="24"/>
                <w:szCs w:val="24"/>
              </w:rPr>
            </w:pPr>
            <w:r w:rsidRPr="00BC35C5">
              <w:rPr>
                <w:rFonts w:ascii="Times New Roman" w:hAnsi="Times New Roman" w:cs="Times New Roman"/>
                <w:b/>
                <w:i/>
                <w:sz w:val="24"/>
                <w:szCs w:val="24"/>
              </w:rPr>
              <w:t>Первісна редакція тендерної документації</w:t>
            </w:r>
          </w:p>
        </w:tc>
        <w:tc>
          <w:tcPr>
            <w:tcW w:w="5265" w:type="dxa"/>
          </w:tcPr>
          <w:p w14:paraId="5599AAE7" w14:textId="77777777" w:rsidR="00FF54C7" w:rsidRPr="00BC35C5" w:rsidRDefault="00FF54C7" w:rsidP="00C1134C">
            <w:pPr>
              <w:jc w:val="center"/>
              <w:rPr>
                <w:rFonts w:ascii="Times New Roman" w:hAnsi="Times New Roman" w:cs="Times New Roman"/>
                <w:sz w:val="24"/>
                <w:szCs w:val="24"/>
              </w:rPr>
            </w:pPr>
            <w:r w:rsidRPr="00BC35C5">
              <w:rPr>
                <w:rFonts w:ascii="Times New Roman" w:hAnsi="Times New Roman" w:cs="Times New Roman"/>
                <w:b/>
                <w:i/>
                <w:sz w:val="24"/>
                <w:szCs w:val="24"/>
              </w:rPr>
              <w:t xml:space="preserve">Зміни, що вносяться до </w:t>
            </w:r>
            <w:r w:rsidR="00BC35C5">
              <w:rPr>
                <w:rFonts w:ascii="Times New Roman" w:hAnsi="Times New Roman" w:cs="Times New Roman"/>
                <w:b/>
                <w:i/>
                <w:sz w:val="24"/>
                <w:szCs w:val="24"/>
              </w:rPr>
              <w:t>тендерної документації</w:t>
            </w:r>
          </w:p>
        </w:tc>
      </w:tr>
      <w:tr w:rsidR="00EC4DA8" w:rsidRPr="00417C53" w14:paraId="3A2423B6" w14:textId="77777777" w:rsidTr="00363504">
        <w:trPr>
          <w:trHeight w:val="1015"/>
        </w:trPr>
        <w:tc>
          <w:tcPr>
            <w:tcW w:w="10627" w:type="dxa"/>
            <w:gridSpan w:val="2"/>
          </w:tcPr>
          <w:p w14:paraId="04408467" w14:textId="77777777" w:rsidR="00EC4DA8" w:rsidRPr="00611479" w:rsidRDefault="00EC4DA8" w:rsidP="00FC1C7C">
            <w:pPr>
              <w:pStyle w:val="ListParagraph"/>
              <w:tabs>
                <w:tab w:val="left" w:pos="40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C1C7C">
              <w:rPr>
                <w:rFonts w:ascii="Times New Roman" w:hAnsi="Times New Roman"/>
                <w:sz w:val="24"/>
                <w:szCs w:val="24"/>
              </w:rPr>
              <w:t>Пункт 5 розділу 6</w:t>
            </w:r>
            <w:r>
              <w:rPr>
                <w:rFonts w:ascii="Times New Roman" w:hAnsi="Times New Roman"/>
                <w:sz w:val="24"/>
                <w:szCs w:val="24"/>
              </w:rPr>
              <w:t xml:space="preserve"> </w:t>
            </w:r>
            <w:r w:rsidR="00BC35C5">
              <w:rPr>
                <w:rFonts w:ascii="Times New Roman" w:hAnsi="Times New Roman"/>
                <w:sz w:val="24"/>
                <w:szCs w:val="24"/>
              </w:rPr>
              <w:t>тендерної документації</w:t>
            </w:r>
            <w:r>
              <w:rPr>
                <w:rFonts w:ascii="Times New Roman" w:hAnsi="Times New Roman"/>
                <w:sz w:val="24"/>
                <w:szCs w:val="24"/>
              </w:rPr>
              <w:t>:</w:t>
            </w:r>
          </w:p>
        </w:tc>
      </w:tr>
      <w:tr w:rsidR="00EC4DA8" w:rsidRPr="00611479" w14:paraId="456B242D" w14:textId="77777777" w:rsidTr="00954CDC">
        <w:trPr>
          <w:trHeight w:val="1015"/>
        </w:trPr>
        <w:tc>
          <w:tcPr>
            <w:tcW w:w="5362" w:type="dxa"/>
          </w:tcPr>
          <w:p w14:paraId="177AC1BF" w14:textId="77777777" w:rsidR="00FC1C7C" w:rsidRPr="00DE22B3" w:rsidRDefault="00FC1C7C" w:rsidP="00FC1C7C">
            <w:pPr>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Переможець процедури закупівлі протягом 2 робочих днів після закінчення періоду оскарження в якості підтвердження справжності своїх намірів вносить забезпечення виконання умов договору  взятих на себе зобов'язань щодо впровадження енергозберігаючих (енергоефективних) заходів в частині розробки та передачі належним чином Замовнику погоджено</w:t>
            </w:r>
            <w:r>
              <w:rPr>
                <w:rFonts w:ascii="Times New Roman" w:hAnsi="Times New Roman"/>
                <w:sz w:val="24"/>
                <w:szCs w:val="24"/>
                <w:shd w:val="clear" w:color="auto" w:fill="FFFFFF"/>
              </w:rPr>
              <w:t>ї</w:t>
            </w:r>
            <w:r w:rsidRPr="006B1320">
              <w:rPr>
                <w:rFonts w:ascii="Times New Roman" w:hAnsi="Times New Roman"/>
                <w:sz w:val="24"/>
                <w:szCs w:val="24"/>
                <w:shd w:val="clear" w:color="auto" w:fill="FFFFFF"/>
              </w:rPr>
              <w:t xml:space="preserve"> (за потреби) з відповідним органом (установою, організацією, підприємством)  </w:t>
            </w:r>
            <w:r>
              <w:rPr>
                <w:rFonts w:ascii="Times New Roman" w:hAnsi="Times New Roman"/>
                <w:sz w:val="24"/>
                <w:szCs w:val="24"/>
                <w:shd w:val="clear" w:color="auto" w:fill="FFFFFF"/>
              </w:rPr>
              <w:t xml:space="preserve">проектної </w:t>
            </w:r>
            <w:r w:rsidRPr="006B1320">
              <w:rPr>
                <w:rFonts w:ascii="Times New Roman" w:hAnsi="Times New Roman"/>
                <w:sz w:val="24"/>
                <w:szCs w:val="24"/>
                <w:shd w:val="clear" w:color="auto" w:fill="FFFFFF"/>
              </w:rPr>
              <w:t xml:space="preserve">документації із впровадження запропонованих енергозберігаючих (енергоефективних) заходів згідно із запропонованим графіком </w:t>
            </w:r>
            <w:r w:rsidRPr="00DE22B3">
              <w:rPr>
                <w:rFonts w:ascii="Times New Roman" w:hAnsi="Times New Roman"/>
                <w:sz w:val="24"/>
                <w:szCs w:val="24"/>
                <w:shd w:val="clear" w:color="auto" w:fill="FFFFFF"/>
              </w:rPr>
              <w:t xml:space="preserve">виконання енергозберігаючих (енергоефективних) заходів в тендерній пропозиції (у формі, що визначено Додатком 8 до тендерної документації) у формі покритої банківської гарантії на суму 5% ціни енергосервісного договору, який буде укладено. </w:t>
            </w:r>
          </w:p>
          <w:p w14:paraId="5B676F43" w14:textId="77777777" w:rsidR="00FC1C7C" w:rsidRPr="00DE22B3" w:rsidRDefault="00FC1C7C" w:rsidP="00FC1C7C">
            <w:pPr>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Реквізити розрахункового рахунку Замовника буде вказано Замовником у разі настання гарантійного випадку для банку під час стягнення суми відповідної банківської гарантії.</w:t>
            </w:r>
          </w:p>
          <w:p w14:paraId="2A2443FE" w14:textId="77777777" w:rsidR="00FC1C7C" w:rsidRPr="00DE22B3" w:rsidRDefault="00FC1C7C" w:rsidP="00FC1C7C">
            <w:pPr>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 xml:space="preserve">Замовник повертає забезпечення виконання договору про закупівлю не пізніше ніж протягом п’яти банківських днів з дня настання однієї із зазначених нижче обставин: </w:t>
            </w:r>
          </w:p>
          <w:p w14:paraId="4C513B45" w14:textId="77777777" w:rsidR="00FC1C7C" w:rsidRPr="00DE22B3" w:rsidRDefault="00FC1C7C" w:rsidP="00FC1C7C">
            <w:pPr>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 xml:space="preserve">- в разі відміни процедури закупівлі енергосервісу;  </w:t>
            </w:r>
          </w:p>
          <w:p w14:paraId="635B914B" w14:textId="77777777" w:rsidR="00FC1C7C" w:rsidRPr="006B1320" w:rsidRDefault="00FC1C7C" w:rsidP="00FC1C7C">
            <w:pPr>
              <w:jc w:val="both"/>
              <w:rPr>
                <w:rFonts w:ascii="Times New Roman" w:hAnsi="Times New Roman"/>
                <w:sz w:val="24"/>
                <w:szCs w:val="24"/>
                <w:shd w:val="clear" w:color="auto" w:fill="FFFFFF"/>
              </w:rPr>
            </w:pPr>
            <w:r w:rsidRPr="00DE22B3">
              <w:rPr>
                <w:rFonts w:ascii="Times New Roman" w:hAnsi="Times New Roman"/>
                <w:sz w:val="24"/>
                <w:szCs w:val="24"/>
                <w:shd w:val="clear" w:color="auto" w:fill="FFFFFF"/>
              </w:rPr>
              <w:t>- після виконання переможцем умов договору</w:t>
            </w:r>
            <w:r w:rsidRPr="006B1320">
              <w:rPr>
                <w:rFonts w:ascii="Times New Roman" w:hAnsi="Times New Roman"/>
                <w:sz w:val="24"/>
                <w:szCs w:val="24"/>
                <w:shd w:val="clear" w:color="auto" w:fill="FFFFFF"/>
              </w:rPr>
              <w:t xml:space="preserve"> щодо взятих на себе зобов'язань в частині розробки та передачі Замовнику належним чином погоджен</w:t>
            </w:r>
            <w:r>
              <w:rPr>
                <w:rFonts w:ascii="Times New Roman" w:hAnsi="Times New Roman"/>
                <w:sz w:val="24"/>
                <w:szCs w:val="24"/>
                <w:shd w:val="clear" w:color="auto" w:fill="FFFFFF"/>
              </w:rPr>
              <w:t>ої</w:t>
            </w:r>
            <w:r w:rsidRPr="006B1320">
              <w:rPr>
                <w:rFonts w:ascii="Times New Roman" w:hAnsi="Times New Roman"/>
                <w:sz w:val="24"/>
                <w:szCs w:val="24"/>
                <w:shd w:val="clear" w:color="auto" w:fill="FFFFFF"/>
              </w:rPr>
              <w:t xml:space="preserve"> (за потреби) з визначеним законодавством відповідним органом (установою, організацією, підприємством) </w:t>
            </w:r>
            <w:r>
              <w:rPr>
                <w:rFonts w:ascii="Times New Roman" w:hAnsi="Times New Roman"/>
                <w:sz w:val="24"/>
                <w:szCs w:val="24"/>
                <w:shd w:val="clear" w:color="auto" w:fill="FFFFFF"/>
              </w:rPr>
              <w:t xml:space="preserve">проектної </w:t>
            </w:r>
            <w:r w:rsidRPr="006B1320">
              <w:rPr>
                <w:rFonts w:ascii="Times New Roman" w:hAnsi="Times New Roman"/>
                <w:sz w:val="24"/>
                <w:szCs w:val="24"/>
                <w:shd w:val="clear" w:color="auto" w:fill="FFFFFF"/>
              </w:rPr>
              <w:t xml:space="preserve">документації із впровадження запропонованих енергозберігаючих (енергоефективних) заходів згідно із запропонованим графіком впровадження енергозберігаючих (енергоефективних) заходів в тендерній пропозиції (у формі, що визначено Додатком 8 до тендерної документації)  ; </w:t>
            </w:r>
          </w:p>
          <w:p w14:paraId="4AE1D22C" w14:textId="77777777" w:rsidR="00FC1C7C" w:rsidRPr="006B1320" w:rsidRDefault="00FC1C7C" w:rsidP="00FC1C7C">
            <w:pPr>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lastRenderedPageBreak/>
              <w:t xml:space="preserve">- </w:t>
            </w:r>
            <w:r w:rsidRPr="006E2EE1">
              <w:rPr>
                <w:rFonts w:ascii="Times New Roman" w:hAnsi="Times New Roman"/>
                <w:sz w:val="24"/>
                <w:szCs w:val="24"/>
                <w:shd w:val="clear" w:color="auto" w:fill="FFFFFF"/>
              </w:rPr>
              <w:t>у випадках, передбачених статтею 43 Закону</w:t>
            </w:r>
            <w:r>
              <w:rPr>
                <w:rFonts w:ascii="Times New Roman" w:hAnsi="Times New Roman"/>
                <w:sz w:val="24"/>
                <w:szCs w:val="24"/>
                <w:shd w:val="clear" w:color="auto" w:fill="FFFFFF"/>
              </w:rPr>
              <w:t xml:space="preserve"> України «Про публічні закупівлі»</w:t>
            </w:r>
            <w:r w:rsidRPr="006E2EE1">
              <w:rPr>
                <w:rFonts w:ascii="Times New Roman" w:hAnsi="Times New Roman"/>
                <w:sz w:val="24"/>
                <w:szCs w:val="24"/>
                <w:shd w:val="clear" w:color="auto" w:fill="FFFFFF"/>
              </w:rPr>
              <w:t>;</w:t>
            </w:r>
          </w:p>
          <w:p w14:paraId="5448B95A" w14:textId="77777777" w:rsidR="00FC1C7C" w:rsidRPr="00663C8B" w:rsidRDefault="00FC1C7C" w:rsidP="00FC1C7C">
            <w:pPr>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 </w:t>
            </w:r>
            <w:r w:rsidRPr="00663C8B">
              <w:rPr>
                <w:rFonts w:ascii="Times New Roman" w:hAnsi="Times New Roman"/>
                <w:sz w:val="24"/>
                <w:szCs w:val="24"/>
                <w:shd w:val="clear" w:color="auto" w:fill="FFFFFF"/>
              </w:rPr>
              <w:t xml:space="preserve">за рішенням суду щодо повернення забезпечення договору у випадку визнання результатів процедури закупівлі </w:t>
            </w:r>
            <w:proofErr w:type="spellStart"/>
            <w:r w:rsidRPr="00663C8B">
              <w:rPr>
                <w:rFonts w:ascii="Times New Roman" w:hAnsi="Times New Roman"/>
                <w:sz w:val="24"/>
                <w:szCs w:val="24"/>
                <w:shd w:val="clear" w:color="auto" w:fill="FFFFFF"/>
              </w:rPr>
              <w:t>закупівлі</w:t>
            </w:r>
            <w:proofErr w:type="spellEnd"/>
            <w:r w:rsidRPr="00663C8B">
              <w:rPr>
                <w:rFonts w:ascii="Times New Roman" w:hAnsi="Times New Roman"/>
                <w:sz w:val="24"/>
                <w:szCs w:val="24"/>
                <w:shd w:val="clear" w:color="auto" w:fill="FFFFFF"/>
              </w:rPr>
              <w:t xml:space="preserve"> недійсними або до</w:t>
            </w:r>
            <w:r>
              <w:rPr>
                <w:rFonts w:ascii="Times New Roman" w:hAnsi="Times New Roman"/>
                <w:sz w:val="24"/>
                <w:szCs w:val="24"/>
                <w:shd w:val="clear" w:color="auto" w:fill="FFFFFF"/>
              </w:rPr>
              <w:t>говору про закупівлю нікчемним;</w:t>
            </w:r>
          </w:p>
          <w:p w14:paraId="04FB8399" w14:textId="77777777" w:rsidR="00FC1C7C" w:rsidRDefault="00FC1C7C" w:rsidP="00FC1C7C">
            <w:pPr>
              <w:jc w:val="both"/>
              <w:rPr>
                <w:rFonts w:ascii="Times New Roman" w:hAnsi="Times New Roman"/>
                <w:sz w:val="24"/>
                <w:szCs w:val="24"/>
                <w:shd w:val="clear" w:color="auto" w:fill="FFFFFF"/>
              </w:rPr>
            </w:pPr>
            <w:r w:rsidRPr="006B1320">
              <w:rPr>
                <w:rFonts w:ascii="Times New Roman" w:hAnsi="Times New Roman"/>
                <w:sz w:val="24"/>
                <w:szCs w:val="24"/>
                <w:shd w:val="clear" w:color="auto" w:fill="FFFFFF"/>
              </w:rPr>
              <w:t xml:space="preserve">Кошти, </w:t>
            </w:r>
            <w:r>
              <w:rPr>
                <w:rFonts w:ascii="Times New Roman" w:hAnsi="Times New Roman"/>
                <w:sz w:val="24"/>
                <w:szCs w:val="24"/>
                <w:shd w:val="clear" w:color="auto" w:fill="FFFFFF"/>
              </w:rPr>
              <w:t>які є</w:t>
            </w:r>
            <w:r w:rsidRPr="006B1320">
              <w:rPr>
                <w:rFonts w:ascii="Times New Roman" w:hAnsi="Times New Roman"/>
                <w:sz w:val="24"/>
                <w:szCs w:val="24"/>
                <w:shd w:val="clear" w:color="auto" w:fill="FFFFFF"/>
              </w:rPr>
              <w:t xml:space="preserve"> як забезпечення виконання умов договору щодо взятих переможцем зобов'язань в частині надання (передачі) належним чином погоджено</w:t>
            </w:r>
            <w:r>
              <w:rPr>
                <w:rFonts w:ascii="Times New Roman" w:hAnsi="Times New Roman"/>
                <w:sz w:val="24"/>
                <w:szCs w:val="24"/>
                <w:shd w:val="clear" w:color="auto" w:fill="FFFFFF"/>
              </w:rPr>
              <w:t>ї</w:t>
            </w:r>
            <w:r w:rsidRPr="006B1320">
              <w:rPr>
                <w:rFonts w:ascii="Times New Roman" w:hAnsi="Times New Roman"/>
                <w:sz w:val="24"/>
                <w:szCs w:val="24"/>
                <w:shd w:val="clear" w:color="auto" w:fill="FFFFFF"/>
              </w:rPr>
              <w:t xml:space="preserve"> (за потреби) із визначеним законодавством відповідним органом (установою, організацією, підприємством) </w:t>
            </w:r>
            <w:r>
              <w:rPr>
                <w:rFonts w:ascii="Times New Roman" w:hAnsi="Times New Roman"/>
                <w:sz w:val="24"/>
                <w:szCs w:val="24"/>
                <w:shd w:val="clear" w:color="auto" w:fill="FFFFFF"/>
              </w:rPr>
              <w:t xml:space="preserve">проектної </w:t>
            </w:r>
            <w:r w:rsidRPr="006B1320">
              <w:rPr>
                <w:rFonts w:ascii="Times New Roman" w:hAnsi="Times New Roman"/>
                <w:sz w:val="24"/>
                <w:szCs w:val="24"/>
                <w:shd w:val="clear" w:color="auto" w:fill="FFFFFF"/>
              </w:rPr>
              <w:t>документації із впровадження запропонованих енергозберігаючих (енергоефективних) заходів згідно із запропонованим графіком впровадження енергозберігаючих (енергоефективних) заходів (у формі, що визначено Додатком 8 до тендерної документації), у разі якщо вони не повертаються,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3FF42626" w14:textId="77777777" w:rsidR="00FC1C7C" w:rsidRPr="00761F78" w:rsidRDefault="00FC1C7C" w:rsidP="00FC1C7C">
            <w:pPr>
              <w:jc w:val="both"/>
              <w:rPr>
                <w:rFonts w:ascii="Times New Roman" w:eastAsia="Times New Roman" w:hAnsi="Times New Roman"/>
                <w:sz w:val="24"/>
                <w:szCs w:val="24"/>
                <w:lang w:eastAsia="ru-RU"/>
              </w:rPr>
            </w:pPr>
            <w:r w:rsidRPr="00761F78">
              <w:rPr>
                <w:rFonts w:ascii="Times New Roman" w:eastAsia="Times New Roman" w:hAnsi="Times New Roman"/>
                <w:sz w:val="24"/>
                <w:szCs w:val="24"/>
                <w:lang w:eastAsia="ru-RU"/>
              </w:rPr>
              <w:t xml:space="preserve">Електронна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Pr="00761F78">
              <w:rPr>
                <w:rFonts w:ascii="Times New Roman" w:eastAsia="Times New Roman" w:hAnsi="Times New Roman"/>
                <w:sz w:val="24"/>
                <w:szCs w:val="24"/>
                <w:lang w:eastAsia="ru-RU"/>
              </w:rPr>
              <w:t>засвідчувального</w:t>
            </w:r>
            <w:proofErr w:type="spellEnd"/>
            <w:r w:rsidRPr="00761F78">
              <w:rPr>
                <w:rFonts w:ascii="Times New Roman" w:eastAsia="Times New Roman" w:hAnsi="Times New Roman"/>
                <w:sz w:val="24"/>
                <w:szCs w:val="24"/>
                <w:lang w:eastAsia="ru-RU"/>
              </w:rPr>
              <w:t xml:space="preserve"> органу Міністерства юстиції України. </w:t>
            </w:r>
          </w:p>
          <w:p w14:paraId="14686808" w14:textId="77777777" w:rsidR="00FC1C7C" w:rsidRPr="00761F78" w:rsidRDefault="00FC1C7C" w:rsidP="00FC1C7C">
            <w:pPr>
              <w:jc w:val="both"/>
              <w:rPr>
                <w:rFonts w:ascii="Times New Roman" w:hAnsi="Times New Roman"/>
                <w:sz w:val="24"/>
                <w:szCs w:val="24"/>
              </w:rPr>
            </w:pPr>
            <w:r w:rsidRPr="00761F78">
              <w:rPr>
                <w:rFonts w:ascii="Times New Roman" w:hAnsi="Times New Roman"/>
                <w:sz w:val="24"/>
                <w:szCs w:val="24"/>
              </w:rPr>
              <w:t xml:space="preserve">Банківська гарантія має бути із безвідкличним зобов’язанням банку відшкодувати суму гарантії протягом 5 робочих днів за письмовою вимогою </w:t>
            </w:r>
            <w:r w:rsidRPr="005839E4">
              <w:rPr>
                <w:rFonts w:ascii="Times New Roman" w:hAnsi="Times New Roman"/>
                <w:sz w:val="24"/>
                <w:szCs w:val="24"/>
              </w:rPr>
              <w:t>Замовника</w:t>
            </w:r>
            <w:r w:rsidRPr="00761F78">
              <w:rPr>
                <w:rFonts w:ascii="Times New Roman" w:hAnsi="Times New Roman"/>
                <w:sz w:val="24"/>
                <w:szCs w:val="24"/>
              </w:rPr>
              <w:t>.</w:t>
            </w:r>
          </w:p>
          <w:p w14:paraId="046BC7C9" w14:textId="77777777" w:rsidR="00FC1C7C" w:rsidRPr="005839E4" w:rsidRDefault="00FC1C7C" w:rsidP="00FC1C7C">
            <w:pPr>
              <w:tabs>
                <w:tab w:val="left" w:pos="2040"/>
              </w:tabs>
              <w:jc w:val="both"/>
              <w:rPr>
                <w:rFonts w:ascii="Times New Roman" w:hAnsi="Times New Roman"/>
                <w:sz w:val="24"/>
                <w:szCs w:val="24"/>
              </w:rPr>
            </w:pPr>
            <w:r w:rsidRPr="00761F78">
              <w:rPr>
                <w:rFonts w:ascii="Times New Roman" w:hAnsi="Times New Roman"/>
                <w:sz w:val="24"/>
                <w:szCs w:val="24"/>
              </w:rPr>
              <w:t xml:space="preserve">Разом із банківською гарантією до електронної системи публічних закупівель надаються у електронному форматі копія ліцензії, виданої банку (або витяг з державного реєстру банків про видачу банківської ліцензії) та копія документа про повноваження особи, котра підписує банківську гарантію. </w:t>
            </w:r>
            <w:r w:rsidRPr="005839E4">
              <w:rPr>
                <w:rFonts w:ascii="Times New Roman" w:hAnsi="Times New Roman"/>
                <w:sz w:val="24"/>
                <w:szCs w:val="24"/>
              </w:rPr>
              <w:t>Зазначені копії повинні бути належним чином завірені банком.</w:t>
            </w:r>
          </w:p>
          <w:p w14:paraId="35DC2B6F" w14:textId="77777777" w:rsidR="00FC1C7C" w:rsidRPr="005839E4" w:rsidRDefault="00FC1C7C" w:rsidP="00FC1C7C">
            <w:pPr>
              <w:tabs>
                <w:tab w:val="left" w:pos="2040"/>
              </w:tabs>
              <w:jc w:val="both"/>
              <w:rPr>
                <w:rFonts w:ascii="Times New Roman" w:hAnsi="Times New Roman"/>
                <w:sz w:val="24"/>
                <w:szCs w:val="24"/>
              </w:rPr>
            </w:pPr>
            <w:r w:rsidRPr="005839E4">
              <w:rPr>
                <w:rFonts w:ascii="Times New Roman" w:hAnsi="Times New Roman"/>
                <w:sz w:val="24"/>
                <w:szCs w:val="24"/>
              </w:rPr>
              <w:t xml:space="preserve">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та скасуванні торгів. </w:t>
            </w:r>
          </w:p>
          <w:p w14:paraId="5A7B0AC1" w14:textId="77777777" w:rsidR="00FC1C7C" w:rsidRPr="00761F78" w:rsidRDefault="00FC1C7C" w:rsidP="00FC1C7C">
            <w:pPr>
              <w:contextualSpacing/>
              <w:jc w:val="both"/>
              <w:rPr>
                <w:rFonts w:ascii="Times New Roman" w:hAnsi="Times New Roman"/>
                <w:sz w:val="24"/>
                <w:szCs w:val="24"/>
                <w:lang w:eastAsia="uk-UA"/>
              </w:rPr>
            </w:pPr>
            <w:r w:rsidRPr="00761F78">
              <w:rPr>
                <w:rFonts w:ascii="Times New Roman" w:hAnsi="Times New Roman"/>
                <w:sz w:val="24"/>
                <w:szCs w:val="24"/>
                <w:lang w:eastAsia="uk-UA"/>
              </w:rPr>
              <w:t>На підтвердження наявності грошового покриття на весь строк дії гарантії надається довідка з Банку, яка підтверджується зачислення грошового покриття на рахунок покриття та строк дії покриття на рахунку на ввесь строк дії гарантії</w:t>
            </w:r>
            <w:r>
              <w:rPr>
                <w:rFonts w:ascii="Times New Roman" w:hAnsi="Times New Roman"/>
                <w:sz w:val="24"/>
                <w:szCs w:val="24"/>
                <w:lang w:eastAsia="uk-UA"/>
              </w:rPr>
              <w:t xml:space="preserve"> та виписка по рахунку</w:t>
            </w:r>
            <w:r w:rsidRPr="00761F78">
              <w:rPr>
                <w:rFonts w:ascii="Times New Roman" w:hAnsi="Times New Roman"/>
                <w:sz w:val="24"/>
                <w:szCs w:val="24"/>
                <w:lang w:eastAsia="uk-UA"/>
              </w:rPr>
              <w:t>, видана Банком-гарантом, завірена печаткою Банку- гаранта та підпису уповноваженої особи такого Банка-гаранта із наданням підтвердження повноважень такої уповноваженої особи від Банку-гаранта.</w:t>
            </w:r>
          </w:p>
          <w:p w14:paraId="3D586841" w14:textId="77777777" w:rsidR="00FC1C7C" w:rsidRDefault="00FC1C7C" w:rsidP="00FC1C7C">
            <w:pPr>
              <w:contextualSpacing/>
              <w:jc w:val="both"/>
              <w:rPr>
                <w:rFonts w:ascii="Times New Roman" w:hAnsi="Times New Roman"/>
                <w:sz w:val="24"/>
                <w:szCs w:val="24"/>
                <w:lang w:eastAsia="uk-UA"/>
              </w:rPr>
            </w:pPr>
            <w:r w:rsidRPr="00761F78">
              <w:rPr>
                <w:rFonts w:ascii="Times New Roman" w:hAnsi="Times New Roman"/>
                <w:sz w:val="24"/>
                <w:szCs w:val="24"/>
                <w:lang w:eastAsia="uk-UA"/>
              </w:rPr>
              <w:lastRenderedPageBreak/>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w:t>
            </w:r>
            <w:r>
              <w:rPr>
                <w:rFonts w:ascii="Times New Roman" w:hAnsi="Times New Roman"/>
                <w:sz w:val="24"/>
                <w:szCs w:val="24"/>
                <w:lang w:eastAsia="uk-UA"/>
              </w:rPr>
              <w:t>ими фінансовими зобов’язаннями.</w:t>
            </w:r>
          </w:p>
          <w:p w14:paraId="03A44CCD" w14:textId="77777777" w:rsidR="00EC4DA8" w:rsidRPr="00EC4DA8" w:rsidRDefault="00FC1C7C" w:rsidP="00FC1C7C">
            <w:pPr>
              <w:tabs>
                <w:tab w:val="left" w:pos="407"/>
              </w:tabs>
              <w:jc w:val="both"/>
              <w:rPr>
                <w:rFonts w:ascii="Times New Roman" w:hAnsi="Times New Roman"/>
                <w:sz w:val="24"/>
                <w:szCs w:val="24"/>
              </w:rPr>
            </w:pPr>
            <w:r>
              <w:rPr>
                <w:rFonts w:ascii="Times New Roman" w:hAnsi="Times New Roman"/>
                <w:sz w:val="24"/>
                <w:szCs w:val="24"/>
                <w:lang w:eastAsia="uk-UA"/>
              </w:rPr>
              <w:t xml:space="preserve">Банківська гарантія разом зі всіма документами, встановленими в даному пункті підлягає завантаженню в електрону систему закупівель не пізніше ніж два робочі дні після закінчення строку оскарження. У разі невідповідності положень банківської гарантії вимогам даного пункту, або ненадання документів, які передбачені даним пунктом, Замовник відхиляє пропозицію переможця на підставі: переможець процедури закупівлі: </w:t>
            </w:r>
            <w:r w:rsidRPr="00327B0D">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sz w:val="24"/>
                <w:szCs w:val="24"/>
                <w:lang w:eastAsia="uk-UA"/>
              </w:rPr>
              <w:t xml:space="preserve"> </w:t>
            </w:r>
            <w:r w:rsidRPr="00327B0D">
              <w:rPr>
                <w:rFonts w:ascii="Times New Roman" w:hAnsi="Times New Roman"/>
                <w:sz w:val="24"/>
                <w:szCs w:val="24"/>
                <w:lang w:eastAsia="uk-UA"/>
              </w:rPr>
              <w:t>не надав забезпечення виконання договору про закупівлю</w:t>
            </w:r>
            <w:r>
              <w:rPr>
                <w:rFonts w:ascii="Times New Roman" w:hAnsi="Times New Roman"/>
                <w:sz w:val="24"/>
                <w:szCs w:val="24"/>
                <w:lang w:eastAsia="uk-UA"/>
              </w:rPr>
              <w:t>.</w:t>
            </w:r>
          </w:p>
        </w:tc>
        <w:tc>
          <w:tcPr>
            <w:tcW w:w="5265" w:type="dxa"/>
          </w:tcPr>
          <w:p w14:paraId="5122F704" w14:textId="77777777" w:rsidR="00EC4DA8" w:rsidRPr="00FC1C7C" w:rsidRDefault="00FC1C7C" w:rsidP="00EC4DA8">
            <w:pPr>
              <w:pStyle w:val="ListParagraph"/>
              <w:tabs>
                <w:tab w:val="left" w:pos="407"/>
              </w:tabs>
              <w:spacing w:after="0" w:line="240" w:lineRule="auto"/>
              <w:ind w:left="0"/>
              <w:jc w:val="both"/>
              <w:rPr>
                <w:rFonts w:ascii="Times New Roman" w:hAnsi="Times New Roman"/>
                <w:sz w:val="24"/>
                <w:szCs w:val="24"/>
              </w:rPr>
            </w:pPr>
            <w:r w:rsidRPr="00FC1C7C">
              <w:rPr>
                <w:rFonts w:ascii="Times New Roman" w:hAnsi="Times New Roman"/>
                <w:sz w:val="24"/>
                <w:szCs w:val="24"/>
              </w:rPr>
              <w:lastRenderedPageBreak/>
              <w:t>Забезпечення виконання договору про закупівлю не вимагається.</w:t>
            </w:r>
          </w:p>
        </w:tc>
      </w:tr>
      <w:tr w:rsidR="00CC2FC0" w:rsidRPr="00611479" w14:paraId="51FC6D85" w14:textId="77777777" w:rsidTr="000161B2">
        <w:trPr>
          <w:trHeight w:val="1015"/>
        </w:trPr>
        <w:tc>
          <w:tcPr>
            <w:tcW w:w="10627" w:type="dxa"/>
            <w:gridSpan w:val="2"/>
          </w:tcPr>
          <w:p w14:paraId="3A57B661" w14:textId="77777777" w:rsidR="00CC2FC0" w:rsidRPr="00CC2FC0" w:rsidRDefault="00CC2FC0" w:rsidP="00EE4A70">
            <w:pPr>
              <w:pStyle w:val="ListParagraph"/>
              <w:tabs>
                <w:tab w:val="left" w:pos="407"/>
              </w:tabs>
              <w:spacing w:after="0" w:line="240" w:lineRule="auto"/>
              <w:ind w:left="0"/>
              <w:jc w:val="both"/>
              <w:rPr>
                <w:rFonts w:ascii="Times New Roman" w:hAnsi="Times New Roman"/>
                <w:sz w:val="24"/>
                <w:szCs w:val="24"/>
              </w:rPr>
            </w:pPr>
            <w:r w:rsidRPr="00CC2FC0">
              <w:rPr>
                <w:rFonts w:ascii="Times New Roman" w:hAnsi="Times New Roman"/>
                <w:sz w:val="24"/>
                <w:szCs w:val="24"/>
              </w:rPr>
              <w:lastRenderedPageBreak/>
              <w:t xml:space="preserve">Додаток 1 до </w:t>
            </w:r>
            <w:r>
              <w:rPr>
                <w:rFonts w:ascii="Times New Roman" w:hAnsi="Times New Roman"/>
                <w:sz w:val="24"/>
                <w:szCs w:val="24"/>
              </w:rPr>
              <w:t>тендерної документації:</w:t>
            </w:r>
          </w:p>
        </w:tc>
      </w:tr>
      <w:tr w:rsidR="00CC2FC0" w:rsidRPr="00611479" w14:paraId="2BA19C12" w14:textId="77777777" w:rsidTr="00EE4A70">
        <w:trPr>
          <w:trHeight w:val="1015"/>
        </w:trPr>
        <w:tc>
          <w:tcPr>
            <w:tcW w:w="5362" w:type="dxa"/>
          </w:tcPr>
          <w:p w14:paraId="5C026FB1" w14:textId="77777777" w:rsidR="00CC2FC0" w:rsidRPr="00CC2FC0" w:rsidRDefault="00CC2FC0" w:rsidP="00EE4A70">
            <w:pPr>
              <w:jc w:val="both"/>
              <w:rPr>
                <w:rFonts w:ascii="Times New Roman" w:hAnsi="Times New Roman"/>
                <w:sz w:val="24"/>
                <w:szCs w:val="24"/>
                <w:shd w:val="clear" w:color="auto" w:fill="FFFFFF"/>
                <w:lang w:val="ru-RU"/>
              </w:rPr>
            </w:pPr>
            <w:r w:rsidRPr="00CC2FC0">
              <w:rPr>
                <w:rFonts w:ascii="Times New Roman" w:hAnsi="Times New Roman"/>
                <w:color w:val="000000" w:themeColor="text1"/>
                <w:sz w:val="24"/>
                <w:szCs w:val="24"/>
              </w:rPr>
              <w:t xml:space="preserve">Ціни (тарифи) на одиницю ПЕР (ЖКП) - </w:t>
            </w:r>
            <w:r w:rsidRPr="00CC2FC0">
              <w:rPr>
                <w:rFonts w:ascii="Times New Roman" w:hAnsi="Times New Roman"/>
                <w:color w:val="000000" w:themeColor="text1"/>
                <w:sz w:val="24"/>
                <w:szCs w:val="24"/>
                <w:lang w:val="ru-RU"/>
              </w:rPr>
              <w:t>6,45</w:t>
            </w:r>
          </w:p>
        </w:tc>
        <w:tc>
          <w:tcPr>
            <w:tcW w:w="5265" w:type="dxa"/>
          </w:tcPr>
          <w:p w14:paraId="6483B41D" w14:textId="6AE5585F" w:rsidR="00CC2FC0" w:rsidRPr="00877F1F" w:rsidRDefault="00CC2FC0" w:rsidP="00EE4A70">
            <w:pPr>
              <w:pStyle w:val="ListParagraph"/>
              <w:tabs>
                <w:tab w:val="left" w:pos="407"/>
              </w:tabs>
              <w:spacing w:after="0" w:line="240" w:lineRule="auto"/>
              <w:ind w:left="0"/>
              <w:jc w:val="both"/>
              <w:rPr>
                <w:rFonts w:ascii="Times New Roman" w:hAnsi="Times New Roman"/>
                <w:sz w:val="24"/>
                <w:szCs w:val="24"/>
              </w:rPr>
            </w:pPr>
            <w:r w:rsidRPr="00877F1F">
              <w:rPr>
                <w:rFonts w:ascii="Times New Roman" w:hAnsi="Times New Roman"/>
                <w:color w:val="000000" w:themeColor="text1"/>
                <w:sz w:val="24"/>
                <w:szCs w:val="24"/>
              </w:rPr>
              <w:t>Ціни (тарифи) на одиницю ПЕР (ЖКП)</w:t>
            </w:r>
            <w:r w:rsidR="009632F2" w:rsidRPr="00877F1F">
              <w:rPr>
                <w:rFonts w:ascii="Times New Roman" w:hAnsi="Times New Roman"/>
                <w:color w:val="000000" w:themeColor="text1"/>
                <w:sz w:val="24"/>
                <w:szCs w:val="24"/>
              </w:rPr>
              <w:t xml:space="preserve">, </w:t>
            </w:r>
            <w:r w:rsidR="00877F1F" w:rsidRPr="00877F1F">
              <w:rPr>
                <w:rFonts w:ascii="Times New Roman" w:hAnsi="Times New Roman"/>
                <w:color w:val="000000" w:themeColor="text1"/>
                <w:sz w:val="24"/>
                <w:szCs w:val="24"/>
              </w:rPr>
              <w:t xml:space="preserve">8,21 (6,16 електроенергія + 2,05 розподіл) </w:t>
            </w:r>
            <w:r w:rsidR="009632F2" w:rsidRPr="00877F1F">
              <w:rPr>
                <w:rFonts w:ascii="Times New Roman" w:hAnsi="Times New Roman"/>
                <w:color w:val="000000" w:themeColor="text1"/>
                <w:sz w:val="24"/>
                <w:szCs w:val="24"/>
              </w:rPr>
              <w:t>грн</w:t>
            </w:r>
            <w:r w:rsidR="009632F2" w:rsidRPr="00877F1F">
              <w:rPr>
                <w:rFonts w:ascii="Times New Roman" w:hAnsi="Times New Roman"/>
                <w:color w:val="000000" w:themeColor="text1"/>
                <w:sz w:val="24"/>
                <w:szCs w:val="24"/>
                <w:lang w:val="ru-RU"/>
              </w:rPr>
              <w:t>/</w:t>
            </w:r>
            <w:r w:rsidR="009632F2" w:rsidRPr="00877F1F">
              <w:rPr>
                <w:rFonts w:ascii="Times New Roman" w:hAnsi="Times New Roman"/>
                <w:color w:val="000000" w:themeColor="text1"/>
                <w:sz w:val="24"/>
                <w:szCs w:val="24"/>
              </w:rPr>
              <w:t>кВт*год</w:t>
            </w:r>
            <w:r w:rsidRPr="00877F1F">
              <w:rPr>
                <w:rFonts w:ascii="Times New Roman" w:hAnsi="Times New Roman"/>
                <w:color w:val="000000" w:themeColor="text1"/>
                <w:sz w:val="24"/>
                <w:szCs w:val="24"/>
              </w:rPr>
              <w:t xml:space="preserve"> </w:t>
            </w:r>
            <w:r w:rsidR="001930D6" w:rsidRPr="00877F1F">
              <w:rPr>
                <w:rFonts w:ascii="Times New Roman" w:hAnsi="Times New Roman"/>
                <w:color w:val="000000" w:themeColor="text1"/>
                <w:sz w:val="24"/>
                <w:szCs w:val="24"/>
              </w:rPr>
              <w:t>, з ПДВ</w:t>
            </w:r>
          </w:p>
        </w:tc>
      </w:tr>
      <w:tr w:rsidR="00CC2FC0" w:rsidRPr="00611479" w14:paraId="323FEDF1" w14:textId="77777777" w:rsidTr="003814A7">
        <w:trPr>
          <w:trHeight w:val="1015"/>
        </w:trPr>
        <w:tc>
          <w:tcPr>
            <w:tcW w:w="10627" w:type="dxa"/>
            <w:gridSpan w:val="2"/>
          </w:tcPr>
          <w:p w14:paraId="71ED28B7" w14:textId="77777777" w:rsidR="00CC2FC0" w:rsidRPr="00CC2FC0" w:rsidRDefault="00CC2FC0" w:rsidP="00EE4A70">
            <w:pPr>
              <w:pStyle w:val="ListParagraph"/>
              <w:tabs>
                <w:tab w:val="left" w:pos="407"/>
              </w:tabs>
              <w:spacing w:after="0" w:line="240" w:lineRule="auto"/>
              <w:ind w:left="0"/>
              <w:jc w:val="both"/>
              <w:rPr>
                <w:rFonts w:ascii="Times New Roman" w:hAnsi="Times New Roman"/>
                <w:sz w:val="24"/>
                <w:szCs w:val="24"/>
              </w:rPr>
            </w:pPr>
            <w:r w:rsidRPr="00CC2FC0">
              <w:rPr>
                <w:rFonts w:ascii="Times New Roman" w:hAnsi="Times New Roman"/>
                <w:sz w:val="24"/>
                <w:szCs w:val="24"/>
              </w:rPr>
              <w:t xml:space="preserve">Додаток 1 до </w:t>
            </w:r>
            <w:r>
              <w:rPr>
                <w:rFonts w:ascii="Times New Roman" w:hAnsi="Times New Roman"/>
                <w:sz w:val="24"/>
                <w:szCs w:val="24"/>
              </w:rPr>
              <w:t>тендерної документації:</w:t>
            </w:r>
          </w:p>
        </w:tc>
      </w:tr>
      <w:tr w:rsidR="00CC2FC0" w:rsidRPr="00611479" w14:paraId="6E44F2A8" w14:textId="77777777" w:rsidTr="00954CDC">
        <w:trPr>
          <w:trHeight w:val="1015"/>
        </w:trPr>
        <w:tc>
          <w:tcPr>
            <w:tcW w:w="5362" w:type="dxa"/>
          </w:tcPr>
          <w:p w14:paraId="5997FAF6" w14:textId="77777777" w:rsidR="00CC2FC0" w:rsidRPr="00CC2FC0" w:rsidRDefault="00CC2FC0" w:rsidP="00FC1C7C">
            <w:pPr>
              <w:jc w:val="both"/>
              <w:rPr>
                <w:rFonts w:ascii="Times New Roman" w:hAnsi="Times New Roman"/>
                <w:sz w:val="24"/>
                <w:szCs w:val="24"/>
                <w:shd w:val="clear" w:color="auto" w:fill="FFFFFF"/>
                <w:lang w:val="ru-RU"/>
              </w:rPr>
            </w:pPr>
            <w:r w:rsidRPr="00CC2FC0">
              <w:rPr>
                <w:rFonts w:ascii="Times New Roman" w:hAnsi="Times New Roman"/>
                <w:color w:val="000000" w:themeColor="text1"/>
                <w:sz w:val="24"/>
                <w:szCs w:val="24"/>
              </w:rPr>
              <w:t xml:space="preserve">Річний базовий рівень споживання у грошовій формі, тис. грн. - </w:t>
            </w:r>
            <w:r w:rsidRPr="00CC2FC0">
              <w:rPr>
                <w:rFonts w:ascii="Times New Roman" w:hAnsi="Times New Roman"/>
                <w:color w:val="000000" w:themeColor="text1"/>
                <w:sz w:val="24"/>
                <w:szCs w:val="24"/>
                <w:lang w:val="ru-RU"/>
              </w:rPr>
              <w:t>1573,02</w:t>
            </w:r>
          </w:p>
        </w:tc>
        <w:tc>
          <w:tcPr>
            <w:tcW w:w="5265" w:type="dxa"/>
          </w:tcPr>
          <w:p w14:paraId="368382FD" w14:textId="290833C2" w:rsidR="00CC2FC0" w:rsidRPr="00CC2FC0" w:rsidRDefault="00CC2FC0" w:rsidP="00EC4DA8">
            <w:pPr>
              <w:pStyle w:val="ListParagraph"/>
              <w:tabs>
                <w:tab w:val="left" w:pos="407"/>
              </w:tabs>
              <w:spacing w:after="0" w:line="240" w:lineRule="auto"/>
              <w:ind w:left="0"/>
              <w:jc w:val="both"/>
              <w:rPr>
                <w:rFonts w:ascii="Times New Roman" w:hAnsi="Times New Roman"/>
                <w:sz w:val="24"/>
                <w:szCs w:val="24"/>
              </w:rPr>
            </w:pPr>
            <w:r w:rsidRPr="00CC2FC0">
              <w:rPr>
                <w:rFonts w:ascii="Times New Roman" w:hAnsi="Times New Roman"/>
                <w:color w:val="000000" w:themeColor="text1"/>
                <w:sz w:val="24"/>
                <w:szCs w:val="24"/>
              </w:rPr>
              <w:t xml:space="preserve">Річний базовий рівень споживання у грошовій формі, тис. грн. </w:t>
            </w:r>
            <w:r>
              <w:rPr>
                <w:rFonts w:ascii="Times New Roman" w:hAnsi="Times New Roman"/>
                <w:color w:val="000000" w:themeColor="text1"/>
                <w:sz w:val="24"/>
                <w:szCs w:val="24"/>
              </w:rPr>
              <w:t xml:space="preserve"> </w:t>
            </w:r>
            <w:r w:rsidR="00877F1F">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877F1F">
              <w:rPr>
                <w:rFonts w:ascii="Times New Roman" w:hAnsi="Times New Roman"/>
                <w:color w:val="000000" w:themeColor="text1"/>
                <w:sz w:val="24"/>
                <w:szCs w:val="24"/>
              </w:rPr>
              <w:t>2002,252</w:t>
            </w:r>
          </w:p>
        </w:tc>
      </w:tr>
    </w:tbl>
    <w:p w14:paraId="661E138F" w14:textId="77777777" w:rsidR="00045F9B" w:rsidRPr="006E54D0" w:rsidRDefault="00045F9B" w:rsidP="005F5A5A">
      <w:pPr>
        <w:rPr>
          <w:rFonts w:ascii="Times New Roman" w:hAnsi="Times New Roman" w:cs="Times New Roman"/>
          <w:sz w:val="24"/>
          <w:szCs w:val="24"/>
        </w:rPr>
      </w:pPr>
    </w:p>
    <w:sectPr w:rsidR="00045F9B" w:rsidRPr="006E54D0" w:rsidSect="004D3E0D">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CC"/>
    <w:family w:val="swiss"/>
    <w:notTrueType/>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15:restartNumberingAfterBreak="0">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15:restartNumberingAfterBreak="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36361893">
    <w:abstractNumId w:val="0"/>
  </w:num>
  <w:num w:numId="2" w16cid:durableId="1940092291">
    <w:abstractNumId w:val="7"/>
  </w:num>
  <w:num w:numId="3" w16cid:durableId="1519344507">
    <w:abstractNumId w:val="8"/>
  </w:num>
  <w:num w:numId="4" w16cid:durableId="1312055879">
    <w:abstractNumId w:val="10"/>
  </w:num>
  <w:num w:numId="5" w16cid:durableId="1872454653">
    <w:abstractNumId w:val="5"/>
  </w:num>
  <w:num w:numId="6" w16cid:durableId="292488772">
    <w:abstractNumId w:val="9"/>
  </w:num>
  <w:num w:numId="7" w16cid:durableId="1804616430">
    <w:abstractNumId w:val="3"/>
  </w:num>
  <w:num w:numId="8" w16cid:durableId="414668752">
    <w:abstractNumId w:val="11"/>
  </w:num>
  <w:num w:numId="9" w16cid:durableId="850723921">
    <w:abstractNumId w:val="1"/>
  </w:num>
  <w:num w:numId="10" w16cid:durableId="222638035">
    <w:abstractNumId w:val="6"/>
  </w:num>
  <w:num w:numId="11" w16cid:durableId="1857306163">
    <w:abstractNumId w:val="4"/>
  </w:num>
  <w:num w:numId="12" w16cid:durableId="1755935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68"/>
    <w:rsid w:val="000019E9"/>
    <w:rsid w:val="000414BC"/>
    <w:rsid w:val="00045F9B"/>
    <w:rsid w:val="000A19F0"/>
    <w:rsid w:val="000F53A2"/>
    <w:rsid w:val="00116BEB"/>
    <w:rsid w:val="00173884"/>
    <w:rsid w:val="00176C7F"/>
    <w:rsid w:val="001930D6"/>
    <w:rsid w:val="001B6048"/>
    <w:rsid w:val="001F65A7"/>
    <w:rsid w:val="00213187"/>
    <w:rsid w:val="00215D60"/>
    <w:rsid w:val="00221E90"/>
    <w:rsid w:val="002A2DF4"/>
    <w:rsid w:val="002F257F"/>
    <w:rsid w:val="002F74EC"/>
    <w:rsid w:val="00310482"/>
    <w:rsid w:val="00336B6A"/>
    <w:rsid w:val="00357C96"/>
    <w:rsid w:val="00384A2B"/>
    <w:rsid w:val="003F639B"/>
    <w:rsid w:val="00417C53"/>
    <w:rsid w:val="00446E91"/>
    <w:rsid w:val="00457A86"/>
    <w:rsid w:val="0047186E"/>
    <w:rsid w:val="00493734"/>
    <w:rsid w:val="004D21B5"/>
    <w:rsid w:val="004D3E0D"/>
    <w:rsid w:val="00513B44"/>
    <w:rsid w:val="00536A5D"/>
    <w:rsid w:val="00580520"/>
    <w:rsid w:val="00595743"/>
    <w:rsid w:val="005974EE"/>
    <w:rsid w:val="005F5A5A"/>
    <w:rsid w:val="00602167"/>
    <w:rsid w:val="00663A7E"/>
    <w:rsid w:val="00670F68"/>
    <w:rsid w:val="006C22CF"/>
    <w:rsid w:val="006E54D0"/>
    <w:rsid w:val="00733C8D"/>
    <w:rsid w:val="00791494"/>
    <w:rsid w:val="007F2271"/>
    <w:rsid w:val="00816DF6"/>
    <w:rsid w:val="00857ABE"/>
    <w:rsid w:val="00877F1F"/>
    <w:rsid w:val="008B468D"/>
    <w:rsid w:val="008F73BD"/>
    <w:rsid w:val="00922D43"/>
    <w:rsid w:val="00936E32"/>
    <w:rsid w:val="00941B96"/>
    <w:rsid w:val="0095224D"/>
    <w:rsid w:val="009632F2"/>
    <w:rsid w:val="00970B4E"/>
    <w:rsid w:val="0098447E"/>
    <w:rsid w:val="009F59A1"/>
    <w:rsid w:val="00A131C5"/>
    <w:rsid w:val="00A46B82"/>
    <w:rsid w:val="00AF7524"/>
    <w:rsid w:val="00B14CA3"/>
    <w:rsid w:val="00B321FF"/>
    <w:rsid w:val="00B3511A"/>
    <w:rsid w:val="00B404A6"/>
    <w:rsid w:val="00BC35C5"/>
    <w:rsid w:val="00BD22E8"/>
    <w:rsid w:val="00BD4D68"/>
    <w:rsid w:val="00BF2F8F"/>
    <w:rsid w:val="00C1134C"/>
    <w:rsid w:val="00C3035B"/>
    <w:rsid w:val="00C73B3A"/>
    <w:rsid w:val="00C94D9F"/>
    <w:rsid w:val="00CC2FC0"/>
    <w:rsid w:val="00CE1670"/>
    <w:rsid w:val="00CE448A"/>
    <w:rsid w:val="00CE58BE"/>
    <w:rsid w:val="00D2326D"/>
    <w:rsid w:val="00D26F87"/>
    <w:rsid w:val="00D624EF"/>
    <w:rsid w:val="00D83831"/>
    <w:rsid w:val="00DA3B40"/>
    <w:rsid w:val="00EC1C7F"/>
    <w:rsid w:val="00EC4DA8"/>
    <w:rsid w:val="00F05AA3"/>
    <w:rsid w:val="00F3497A"/>
    <w:rsid w:val="00F42452"/>
    <w:rsid w:val="00F91E73"/>
    <w:rsid w:val="00FB5DA6"/>
    <w:rsid w:val="00FC1C7C"/>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099F"/>
  <w15:chartTrackingRefBased/>
  <w15:docId w15:val="{6AEB2D7C-167E-43CC-AEE1-965F372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Normal"/>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ListParagraph">
    <w:name w:val="List Paragraph"/>
    <w:aliases w:val="название табл/рис,заголовок 1.1,Chapter10,Список уровня 2,Bullet Number,Bullet 1,Use Case List Paragraph,lp1,List Paragraph1,lp11,List Paragraph11,Elenco Normale,Текст таблицы,EBRD List,AC List 01"/>
    <w:basedOn w:val="Normal"/>
    <w:link w:val="ListParagraphChar"/>
    <w:qFormat/>
    <w:rsid w:val="00CE58BE"/>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название табл/рис Char,заголовок 1.1 Char,Chapter10 Char,Список уровня 2 Char,Bullet Number Char,Bullet 1 Char,Use Case List Paragraph Char,lp1 Char,List Paragraph1 Char,lp11 Char,List Paragraph11 Char,Elenco Normale Char"/>
    <w:link w:val="ListParagraph"/>
    <w:uiPriority w:val="34"/>
    <w:rsid w:val="00CE58BE"/>
    <w:rPr>
      <w:rFonts w:ascii="Calibri" w:eastAsia="Calibri" w:hAnsi="Calibri" w:cs="Times New Roman"/>
    </w:rPr>
  </w:style>
  <w:style w:type="paragraph" w:customStyle="1" w:styleId="TableParagraph">
    <w:name w:val="Table Paragraph"/>
    <w:basedOn w:val="Normal"/>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Strong">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Normal"/>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Normal"/>
    <w:rsid w:val="00595743"/>
    <w:pPr>
      <w:spacing w:after="0" w:line="240" w:lineRule="auto"/>
    </w:pPr>
    <w:rPr>
      <w:rFonts w:ascii="Verdana" w:eastAsia="Times New Roman" w:hAnsi="Verdana" w:cs="Verdana"/>
      <w:sz w:val="20"/>
      <w:szCs w:val="20"/>
      <w:lang w:val="en-US" w:eastAsia="zh-CN"/>
    </w:rPr>
  </w:style>
  <w:style w:type="paragraph" w:styleId="ListBullet2">
    <w:name w:val="List Bullet 2"/>
    <w:basedOn w:val="Normal"/>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Hyperlink">
    <w:name w:val="Hyperlink"/>
    <w:basedOn w:val="DefaultParagraphFont"/>
    <w:uiPriority w:val="99"/>
    <w:unhideWhenUsed/>
    <w:rsid w:val="00D624EF"/>
    <w:rPr>
      <w:color w:val="0000FF"/>
      <w:u w:val="single"/>
    </w:rPr>
  </w:style>
  <w:style w:type="paragraph" w:styleId="BalloonText">
    <w:name w:val="Balloon Text"/>
    <w:basedOn w:val="Normal"/>
    <w:link w:val="BalloonTextChar"/>
    <w:uiPriority w:val="99"/>
    <w:semiHidden/>
    <w:unhideWhenUsed/>
    <w:rsid w:val="00B35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F1B3-F363-4105-A06F-D43BB625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Калєйніков  Геннадій Євгенійович</cp:lastModifiedBy>
  <cp:revision>2</cp:revision>
  <cp:lastPrinted>2023-11-29T12:39:00Z</cp:lastPrinted>
  <dcterms:created xsi:type="dcterms:W3CDTF">2024-02-09T08:02:00Z</dcterms:created>
  <dcterms:modified xsi:type="dcterms:W3CDTF">2024-02-09T08:02:00Z</dcterms:modified>
  <cp:category/>
</cp:coreProperties>
</file>