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6EBD170C" w14:textId="0805F0DD" w:rsidR="003158C4" w:rsidRPr="00342D40" w:rsidRDefault="003158C4" w:rsidP="003158C4">
      <w:pPr>
        <w:jc w:val="center"/>
        <w:rPr>
          <w:rFonts w:ascii="Times New Roman" w:eastAsia="Arial" w:hAnsi="Times New Roman"/>
          <w:b/>
          <w:bCs/>
          <w:sz w:val="28"/>
          <w:szCs w:val="28"/>
          <w:u w:val="single"/>
          <w:lang w:val="ru-RU"/>
        </w:rPr>
      </w:pPr>
      <w:r w:rsidRPr="000062B5">
        <w:rPr>
          <w:rFonts w:ascii="Times New Roman" w:eastAsia="Arial" w:hAnsi="Times New Roman"/>
          <w:b/>
          <w:bCs/>
          <w:sz w:val="28"/>
          <w:szCs w:val="28"/>
          <w:u w:val="single"/>
          <w:lang w:val="ru-RU"/>
        </w:rPr>
        <w:t xml:space="preserve">Послуги з </w:t>
      </w:r>
      <w:r>
        <w:rPr>
          <w:rFonts w:ascii="Times New Roman" w:eastAsia="Arial" w:hAnsi="Times New Roman"/>
          <w:b/>
          <w:bCs/>
          <w:sz w:val="28"/>
          <w:szCs w:val="28"/>
          <w:u w:val="single"/>
          <w:lang w:val="ru-RU"/>
        </w:rPr>
        <w:t>очищення стічних канав (поглиблення кюветів) на території вул. Вишнева та вул. Вулшава навпроти №18 в м. Перечин, в с. Ворочево на території кладовища</w:t>
      </w:r>
      <w:r>
        <w:rPr>
          <w:rFonts w:ascii="Times New Roman" w:eastAsia="Arial" w:hAnsi="Times New Roman"/>
          <w:b/>
          <w:bCs/>
          <w:sz w:val="28"/>
          <w:szCs w:val="28"/>
          <w:u w:val="single"/>
        </w:rPr>
        <w:t xml:space="preserve"> Перечинської ТГ та біля майданчика ТПВ пл. Незалежності в м. Перечин</w:t>
      </w:r>
      <w:r w:rsidRPr="00342D40">
        <w:rPr>
          <w:rFonts w:ascii="Times New Roman" w:eastAsia="Arial" w:hAnsi="Times New Roman"/>
          <w:b/>
          <w:bCs/>
          <w:sz w:val="28"/>
          <w:szCs w:val="28"/>
          <w:u w:val="single"/>
          <w:lang w:val="ru-RU"/>
        </w:rPr>
        <w:t>,</w:t>
      </w:r>
    </w:p>
    <w:p w14:paraId="672A2A8F" w14:textId="77777777" w:rsidR="003158C4" w:rsidRDefault="003158C4" w:rsidP="003158C4">
      <w:pPr>
        <w:jc w:val="center"/>
        <w:rPr>
          <w:rFonts w:ascii="Times New Roman" w:eastAsia="Arial" w:hAnsi="Times New Roman"/>
          <w:b/>
          <w:bCs/>
          <w:sz w:val="28"/>
          <w:szCs w:val="28"/>
          <w:u w:val="single"/>
        </w:rPr>
      </w:pPr>
      <w:r>
        <w:rPr>
          <w:rFonts w:ascii="Times New Roman" w:eastAsia="Arial" w:hAnsi="Times New Roman"/>
          <w:b/>
          <w:bCs/>
          <w:sz w:val="28"/>
          <w:szCs w:val="28"/>
          <w:u w:val="single"/>
          <w:lang w:val="ru-RU"/>
        </w:rPr>
        <w:t>9064</w:t>
      </w:r>
      <w:r>
        <w:rPr>
          <w:rFonts w:ascii="Times New Roman" w:eastAsia="Arial" w:hAnsi="Times New Roman"/>
          <w:b/>
          <w:bCs/>
          <w:sz w:val="28"/>
          <w:szCs w:val="28"/>
          <w:u w:val="single"/>
        </w:rPr>
        <w:t>0000</w:t>
      </w:r>
      <w:r w:rsidRPr="00342D40">
        <w:rPr>
          <w:rFonts w:ascii="Times New Roman" w:eastAsia="Arial" w:hAnsi="Times New Roman"/>
          <w:b/>
          <w:bCs/>
          <w:sz w:val="28"/>
          <w:szCs w:val="28"/>
          <w:u w:val="single"/>
          <w:lang w:val="ru-RU"/>
        </w:rPr>
        <w:t>-</w:t>
      </w:r>
      <w:r>
        <w:rPr>
          <w:rFonts w:ascii="Times New Roman" w:eastAsia="Arial" w:hAnsi="Times New Roman"/>
          <w:b/>
          <w:bCs/>
          <w:sz w:val="28"/>
          <w:szCs w:val="28"/>
          <w:u w:val="single"/>
          <w:lang w:val="ru-RU"/>
        </w:rPr>
        <w:t>5</w:t>
      </w:r>
      <w:r w:rsidRPr="00342D40">
        <w:rPr>
          <w:rFonts w:ascii="Times New Roman" w:eastAsia="Arial" w:hAnsi="Times New Roman"/>
          <w:b/>
          <w:bCs/>
          <w:sz w:val="28"/>
          <w:szCs w:val="28"/>
          <w:u w:val="single"/>
          <w:lang w:val="ru-RU"/>
        </w:rPr>
        <w:t xml:space="preserve"> </w:t>
      </w:r>
      <w:r>
        <w:rPr>
          <w:rFonts w:ascii="Times New Roman" w:eastAsia="Arial" w:hAnsi="Times New Roman"/>
          <w:b/>
          <w:bCs/>
          <w:sz w:val="28"/>
          <w:szCs w:val="28"/>
          <w:u w:val="single"/>
        </w:rPr>
        <w:t>Послуги з очищення та спорожнення стічних канав</w:t>
      </w:r>
    </w:p>
    <w:p w14:paraId="074F6046" w14:textId="7C21C179" w:rsidR="003158C4" w:rsidRPr="006161A8" w:rsidRDefault="003158C4" w:rsidP="003158C4">
      <w:pPr>
        <w:jc w:val="center"/>
        <w:rPr>
          <w:rFonts w:ascii="Times New Roman" w:eastAsia="Arial" w:hAnsi="Times New Roman"/>
          <w:b/>
          <w:bCs/>
          <w:sz w:val="28"/>
          <w:szCs w:val="28"/>
          <w:u w:val="single"/>
        </w:rPr>
      </w:pPr>
      <w:r>
        <w:rPr>
          <w:rFonts w:ascii="Times New Roman" w:eastAsia="Arial" w:hAnsi="Times New Roman"/>
          <w:b/>
          <w:bCs/>
          <w:sz w:val="28"/>
          <w:szCs w:val="28"/>
          <w:u w:val="single"/>
        </w:rPr>
        <w:t>за ДК 021:2015 Єдиного закупівельного словника</w:t>
      </w:r>
    </w:p>
    <w:p w14:paraId="76957071" w14:textId="77777777" w:rsidR="007964C5" w:rsidRPr="00590DF0" w:rsidRDefault="007964C5" w:rsidP="003158C4">
      <w:pPr>
        <w:widowControl w:val="0"/>
        <w:tabs>
          <w:tab w:val="left" w:pos="0"/>
        </w:tabs>
        <w:jc w:val="both"/>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Для підтвердження відповідності кваліфікаційним вимогам згідно ст. 16 Закону Учасник повинен подати через електронний майданчик у систему Prozorro у складі своєї пропозиції шляхом завантаження файлів у форматах доступних для відображення таких електронних документів (наприклад: *.pdf, *.jpg, *.jpeg, *.png)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0CF6B424"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w:t>
      </w:r>
      <w:r w:rsidR="00F07D92">
        <w:rPr>
          <w:rFonts w:ascii="Times New Roman" w:eastAsia="Times New Roman" w:hAnsi="Times New Roman" w:cs="Times New Roman"/>
          <w:color w:val="000000"/>
          <w:sz w:val="28"/>
          <w:szCs w:val="28"/>
          <w:lang w:val="uk-UA"/>
        </w:rPr>
        <w:t xml:space="preserve"> закупівлі</w:t>
      </w:r>
      <w:r>
        <w:rPr>
          <w:rFonts w:ascii="Times New Roman" w:eastAsia="Times New Roman" w:hAnsi="Times New Roman" w:cs="Times New Roman"/>
          <w:color w:val="000000"/>
          <w:sz w:val="28"/>
          <w:szCs w:val="28"/>
          <w:lang w:val="uk-UA"/>
        </w:rPr>
        <w:t>.</w:t>
      </w:r>
    </w:p>
    <w:p w14:paraId="04CE3351" w14:textId="7BF8B1E5"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як</w:t>
      </w:r>
      <w:r w:rsidR="00900B29">
        <w:rPr>
          <w:rFonts w:ascii="Times New Roman" w:hAnsi="Times New Roman"/>
          <w:sz w:val="28"/>
          <w:szCs w:val="28"/>
        </w:rPr>
        <w:t>е</w:t>
      </w:r>
      <w:r>
        <w:rPr>
          <w:rFonts w:ascii="Times New Roman" w:hAnsi="Times New Roman"/>
          <w:sz w:val="28"/>
          <w:szCs w:val="28"/>
        </w:rPr>
        <w:t xml:space="preserve"> буд</w:t>
      </w:r>
      <w:r w:rsidR="00900B29">
        <w:rPr>
          <w:rFonts w:ascii="Times New Roman" w:hAnsi="Times New Roman"/>
          <w:sz w:val="28"/>
          <w:szCs w:val="28"/>
        </w:rPr>
        <w:t>е</w:t>
      </w:r>
      <w:r>
        <w:rPr>
          <w:rFonts w:ascii="Times New Roman" w:hAnsi="Times New Roman"/>
          <w:sz w:val="28"/>
          <w:szCs w:val="28"/>
        </w:rPr>
        <w:t xml:space="preserve">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lastRenderedPageBreak/>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татус працівника (КЗпП чи на інших договірних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Досвід роботи на даній або рівноцінних посадах (років)</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аналогічного(их) договору(ів)</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разі участі об’єднання учасників підтвердження відповідності </w:t>
      </w:r>
      <w:r>
        <w:rPr>
          <w:rFonts w:ascii="Times New Roman" w:hAnsi="Times New Roman" w:cs="Times New Roman"/>
          <w:color w:val="000000"/>
          <w:sz w:val="28"/>
          <w:szCs w:val="28"/>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 xml:space="preserve">підпункт 2 пункту 47 </w:t>
            </w:r>
            <w:r>
              <w:rPr>
                <w:rFonts w:ascii="Times New Roman" w:hAnsi="Times New Roman" w:cs="Times New Roman"/>
                <w:b/>
                <w:bCs/>
                <w:i/>
                <w:iCs/>
                <w:noProof/>
                <w:kern w:val="2"/>
                <w:sz w:val="24"/>
                <w:szCs w:val="24"/>
                <w:lang w:eastAsia="en-US"/>
              </w:rPr>
              <w:lastRenderedPageBreak/>
              <w:t>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Pr>
                <w:rFonts w:ascii="Times New Roman" w:hAnsi="Times New Roman" w:cs="Times New Roman"/>
                <w:color w:val="000000"/>
                <w:kern w:val="2"/>
                <w:sz w:val="24"/>
                <w:szCs w:val="24"/>
                <w:lang w:eastAsia="en-US"/>
              </w:rPr>
              <w:lastRenderedPageBreak/>
              <w:t>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Default="007964C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hAnsi="Times New Roman" w:cs="Times New Roman"/>
                <w:color w:val="000000"/>
                <w:kern w:val="2"/>
                <w:sz w:val="24"/>
                <w:szCs w:val="24"/>
                <w:lang w:eastAsia="en-US"/>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учасником процедури закупівлі, не внесено до Єдиного державного </w:t>
            </w:r>
            <w:r>
              <w:rPr>
                <w:rFonts w:ascii="Times New Roman" w:hAnsi="Times New Roman" w:cs="Times New Roman"/>
                <w:b/>
                <w:bCs/>
                <w:kern w:val="2"/>
                <w:sz w:val="24"/>
                <w:szCs w:val="24"/>
                <w:lang w:eastAsia="en-US"/>
              </w:rPr>
              <w:lastRenderedPageBreak/>
              <w:t>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вчинення антиконкурентних узгоджених дій, що </w:t>
            </w:r>
            <w:r>
              <w:rPr>
                <w:rFonts w:ascii="Times New Roman" w:hAnsi="Times New Roman" w:cs="Times New Roman"/>
                <w:b/>
                <w:bCs/>
                <w:kern w:val="2"/>
                <w:sz w:val="24"/>
                <w:szCs w:val="24"/>
                <w:lang w:eastAsia="en-US"/>
              </w:rPr>
              <w:lastRenderedPageBreak/>
              <w:t>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cs="Times New Roman"/>
                <w:color w:val="000000"/>
                <w:kern w:val="2"/>
                <w:sz w:val="24"/>
                <w:szCs w:val="24"/>
                <w:lang w:eastAsia="en-US"/>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lastRenderedPageBreak/>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або кінцевий бенефіціарний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color w:val="000000"/>
                <w:kern w:val="2"/>
                <w:sz w:val="24"/>
                <w:szCs w:val="24"/>
                <w:shd w:val="clear" w:color="auto" w:fill="FFFFFF"/>
                <w:lang w:eastAsia="en-US"/>
              </w:rPr>
              <w:lastRenderedPageBreak/>
              <w:t>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більше тридцятиденної давнини відносно дати подання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C80A0E">
              <w:rPr>
                <w:rFonts w:ascii="Times New Roman" w:eastAsia="Times New Roman" w:hAnsi="Times New Roman" w:cs="Times New Roman"/>
                <w:color w:val="000000" w:themeColor="text1"/>
                <w:kern w:val="2"/>
                <w:sz w:val="24"/>
                <w:szCs w:val="24"/>
                <w:lang w:eastAsia="en-US"/>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57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011338"/>
    <w:rsid w:val="00070785"/>
    <w:rsid w:val="003158C4"/>
    <w:rsid w:val="00404AC6"/>
    <w:rsid w:val="00570DF8"/>
    <w:rsid w:val="00590DF0"/>
    <w:rsid w:val="005F3935"/>
    <w:rsid w:val="006225D2"/>
    <w:rsid w:val="00650D65"/>
    <w:rsid w:val="007964C5"/>
    <w:rsid w:val="00900B29"/>
    <w:rsid w:val="009470F2"/>
    <w:rsid w:val="00C80A0E"/>
    <w:rsid w:val="00CC38E2"/>
    <w:rsid w:val="00E07DCE"/>
    <w:rsid w:val="00EA7053"/>
    <w:rsid w:val="00F07D92"/>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2023-06-08T06:13:00Z</dcterms:created>
  <dcterms:modified xsi:type="dcterms:W3CDTF">2024-03-27T10:28:00Z</dcterms:modified>
</cp:coreProperties>
</file>