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0" w:firstLine="0"/>
        <w:jc w:val="left"/>
        <w:rPr>
          <w:rFonts w:ascii="Times New Roman" w:hAnsi="Times New Roman" w:eastAsia="Times New Roman" w:cs="Times New Roman"/>
          <w:b/>
          <w:i/>
          <w:color w:val="4A86E8"/>
          <w:sz w:val="28"/>
          <w:szCs w:val="28"/>
        </w:rPr>
      </w:pPr>
    </w:p>
    <w:p>
      <w:pPr>
        <w:spacing w:after="0" w:line="240" w:lineRule="auto"/>
        <w:ind w:left="5660" w:firstLine="700"/>
        <w:jc w:val="right"/>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ДОДАТОК 1</w:t>
      </w:r>
    </w:p>
    <w:p>
      <w:pPr>
        <w:spacing w:after="0" w:line="240" w:lineRule="auto"/>
        <w:ind w:left="5660" w:firstLine="700"/>
        <w:jc w:val="right"/>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tl w:val="0"/>
        </w:rPr>
        <w:t>до тендерної документації</w:t>
      </w:r>
    </w:p>
    <w:p>
      <w:pPr>
        <w:spacing w:after="0" w:line="240" w:lineRule="auto"/>
        <w:ind w:left="5660" w:firstLine="700"/>
        <w:jc w:val="both"/>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tl w:val="0"/>
        </w:rPr>
        <w:t> </w:t>
      </w:r>
    </w:p>
    <w:p>
      <w:pPr>
        <w:numPr>
          <w:ilvl w:val="0"/>
          <w:numId w:val="1"/>
        </w:numPr>
        <w:shd w:val="clear" w:fill="FFFFFF"/>
        <w:spacing w:after="0" w:line="240" w:lineRule="auto"/>
        <w:ind w:left="502" w:hanging="36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spacing w:after="0" w:line="240" w:lineRule="auto"/>
        <w:ind w:left="885" w:firstLine="0"/>
        <w:jc w:val="center"/>
        <w:rPr>
          <w:rFonts w:ascii="Times New Roman" w:hAnsi="Times New Roman" w:eastAsia="Times New Roman" w:cs="Times New Roman"/>
          <w:b/>
          <w:i/>
          <w:color w:val="4A86E8"/>
          <w:sz w:val="20"/>
          <w:szCs w:val="20"/>
        </w:rPr>
      </w:pPr>
    </w:p>
    <w:tbl>
      <w:tblPr>
        <w:tblStyle w:val="31"/>
        <w:tblW w:w="9630" w:type="dxa"/>
        <w:jc w:val="center"/>
        <w:tblLayout w:type="fixed"/>
        <w:tblCellMar>
          <w:top w:w="15" w:type="dxa"/>
          <w:left w:w="15" w:type="dxa"/>
          <w:bottom w:w="15" w:type="dxa"/>
          <w:right w:w="15" w:type="dxa"/>
        </w:tblCellMar>
      </w:tblPr>
      <w:tblGrid>
        <w:gridCol w:w="495"/>
        <w:gridCol w:w="2925"/>
        <w:gridCol w:w="6210"/>
      </w:tblGrid>
      <w:tr>
        <w:tblPrEx>
          <w:tblCellMar>
            <w:top w:w="15" w:type="dxa"/>
            <w:left w:w="15" w:type="dxa"/>
            <w:bottom w:w="15" w:type="dxa"/>
            <w:right w:w="15" w:type="dxa"/>
          </w:tblCellMar>
        </w:tblPrEx>
        <w:trPr>
          <w:trHeight w:val="690" w:hRule="atLeast"/>
          <w:jc w:val="center"/>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 xml:space="preserve">№ </w:t>
            </w:r>
            <w:r>
              <w:rPr>
                <w:rFonts w:ascii="Times New Roman" w:hAnsi="Times New Roman" w:eastAsia="Times New Roman" w:cs="Times New Roman"/>
                <w:b/>
                <w:sz w:val="20"/>
                <w:szCs w:val="20"/>
                <w:rtl w:val="0"/>
              </w:rPr>
              <w:t>з</w:t>
            </w:r>
            <w:r>
              <w:rPr>
                <w:rFonts w:ascii="Times New Roman" w:hAnsi="Times New Roman" w:eastAsia="Times New Roman" w:cs="Times New Roman"/>
                <w:b/>
                <w:color w:val="000000"/>
                <w:sz w:val="20"/>
                <w:szCs w:val="20"/>
                <w:rtl w:val="0"/>
              </w:rPr>
              <w:t>/п</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Кваліфікаційні критерії</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 xml:space="preserve">Документи та </w:t>
            </w:r>
            <w:r>
              <w:rPr>
                <w:rFonts w:ascii="Times New Roman" w:hAnsi="Times New Roman" w:eastAsia="Times New Roman" w:cs="Times New Roman"/>
                <w:b/>
                <w:color w:val="auto"/>
                <w:sz w:val="20"/>
                <w:szCs w:val="20"/>
                <w:highlight w:val="none"/>
                <w:rtl w:val="0"/>
              </w:rPr>
              <w:t>інформація, які</w:t>
            </w:r>
            <w:r>
              <w:rPr>
                <w:rFonts w:ascii="Times New Roman" w:hAnsi="Times New Roman" w:eastAsia="Times New Roman" w:cs="Times New Roman"/>
                <w:b/>
                <w:color w:val="000000"/>
                <w:sz w:val="20"/>
                <w:szCs w:val="20"/>
                <w:rtl w:val="0"/>
              </w:rPr>
              <w:t xml:space="preserve"> підтверджують відповідність Учасника кваліфікаційним критеріям*</w:t>
            </w:r>
          </w:p>
        </w:tc>
      </w:tr>
      <w:tr>
        <w:tblPrEx>
          <w:tblCellMar>
            <w:top w:w="15" w:type="dxa"/>
            <w:left w:w="15" w:type="dxa"/>
            <w:bottom w:w="15" w:type="dxa"/>
            <w:right w:w="15" w:type="dxa"/>
          </w:tblCellMar>
        </w:tblPrEx>
        <w:trPr>
          <w:trHeight w:val="2255" w:hRule="atLeast"/>
          <w:jc w:val="center"/>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center"/>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sz w:val="20"/>
                <w:szCs w:val="20"/>
                <w:lang w:val="uk-UA"/>
              </w:rPr>
              <w:t>1</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Наявність документально підтвердженого досвіду виконання аналогічного (аналогічних) за предметом закупівлі договору (договорів)</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sz w:val="20"/>
                <w:szCs w:val="20"/>
              </w:rPr>
            </w:pPr>
            <w:r>
              <w:rPr>
                <w:rFonts w:hint="default" w:ascii="Times New Roman" w:hAnsi="Times New Roman" w:eastAsia="Times New Roman" w:cs="Times New Roman"/>
                <w:color w:val="000000"/>
                <w:sz w:val="20"/>
                <w:szCs w:val="20"/>
                <w:rtl w:val="0"/>
                <w:lang w:val="uk-UA"/>
              </w:rPr>
              <w:t>1</w:t>
            </w:r>
            <w:r>
              <w:rPr>
                <w:rFonts w:ascii="Times New Roman" w:hAnsi="Times New Roman" w:eastAsia="Times New Roman" w:cs="Times New Roman"/>
                <w:color w:val="000000"/>
                <w:sz w:val="20"/>
                <w:szCs w:val="20"/>
                <w:rtl w:val="0"/>
              </w:rPr>
              <w:t>.1. На підтвердження досвіду виконання аналогічного (аналогічних) за предметом закупівлі договору (договорів) Учасник має надати:</w:t>
            </w:r>
          </w:p>
          <w:p>
            <w:pPr>
              <w:spacing w:after="0" w:line="240" w:lineRule="auto"/>
              <w:jc w:val="both"/>
              <w:rPr>
                <w:rFonts w:ascii="Times New Roman" w:hAnsi="Times New Roman" w:eastAsia="Times New Roman" w:cs="Times New Roman"/>
                <w:sz w:val="20"/>
                <w:szCs w:val="20"/>
                <w:highlight w:val="none"/>
              </w:rPr>
            </w:pPr>
            <w:r>
              <w:rPr>
                <w:rFonts w:hint="default" w:ascii="Times New Roman" w:hAnsi="Times New Roman" w:eastAsia="Times New Roman" w:cs="Times New Roman"/>
                <w:color w:val="000000"/>
                <w:sz w:val="20"/>
                <w:szCs w:val="20"/>
                <w:rtl w:val="0"/>
                <w:lang w:val="uk-UA"/>
              </w:rPr>
              <w:t>1</w:t>
            </w:r>
            <w:r>
              <w:rPr>
                <w:rFonts w:ascii="Times New Roman" w:hAnsi="Times New Roman" w:eastAsia="Times New Roman" w:cs="Times New Roman"/>
                <w:color w:val="000000"/>
                <w:sz w:val="20"/>
                <w:szCs w:val="20"/>
                <w:rtl w:val="0"/>
              </w:rPr>
              <w:t>.1.1.</w:t>
            </w:r>
            <w:r>
              <w:rPr>
                <w:rFonts w:ascii="Times New Roman" w:hAnsi="Times New Roman" w:eastAsia="Times New Roman" w:cs="Times New Roman"/>
                <w:color w:val="000000"/>
                <w:sz w:val="20"/>
                <w:szCs w:val="20"/>
                <w:highlight w:val="none"/>
                <w:rtl w:val="0"/>
              </w:rPr>
              <w:t xml:space="preserve">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spacing w:after="0" w:line="240" w:lineRule="auto"/>
              <w:jc w:val="both"/>
              <w:rPr>
                <w:rFonts w:hint="default" w:ascii="Times New Roman" w:hAnsi="Times New Roman" w:eastAsia="Times New Roman" w:cs="Times New Roman"/>
                <w:sz w:val="20"/>
                <w:szCs w:val="20"/>
                <w:highlight w:val="none"/>
                <w:lang w:val="uk-UA"/>
              </w:rPr>
            </w:pPr>
            <w:r>
              <w:rPr>
                <w:rFonts w:ascii="Times New Roman" w:hAnsi="Times New Roman" w:eastAsia="Times New Roman" w:cs="Times New Roman"/>
                <w:b/>
                <w:i/>
                <w:color w:val="000000"/>
                <w:sz w:val="20"/>
                <w:szCs w:val="20"/>
                <w:highlight w:val="none"/>
                <w:rtl w:val="0"/>
              </w:rPr>
              <w:t xml:space="preserve">Аналогічним вважається договір </w:t>
            </w:r>
            <w:r>
              <w:rPr>
                <w:rFonts w:ascii="Times New Roman" w:hAnsi="Times New Roman" w:eastAsia="Times New Roman" w:cs="Times New Roman"/>
                <w:b/>
                <w:i/>
                <w:color w:val="000000"/>
                <w:sz w:val="20"/>
                <w:szCs w:val="20"/>
                <w:highlight w:val="none"/>
                <w:rtl w:val="0"/>
                <w:lang w:val="uk-UA"/>
              </w:rPr>
              <w:t>на</w:t>
            </w:r>
            <w:r>
              <w:rPr>
                <w:rFonts w:hint="default" w:ascii="Times New Roman" w:hAnsi="Times New Roman" w:eastAsia="Times New Roman" w:cs="Times New Roman"/>
                <w:b/>
                <w:i/>
                <w:color w:val="000000"/>
                <w:sz w:val="20"/>
                <w:szCs w:val="20"/>
                <w:highlight w:val="none"/>
                <w:rtl w:val="0"/>
                <w:lang w:val="uk-UA"/>
              </w:rPr>
              <w:t xml:space="preserve"> поставку кунга (ів) до автомобілів</w:t>
            </w:r>
            <w:bookmarkStart w:id="1" w:name="_GoBack"/>
            <w:bookmarkEnd w:id="1"/>
          </w:p>
          <w:p>
            <w:pPr>
              <w:spacing w:after="0" w:line="240" w:lineRule="auto"/>
              <w:jc w:val="both"/>
              <w:rPr>
                <w:rFonts w:ascii="Times New Roman" w:hAnsi="Times New Roman" w:eastAsia="Times New Roman" w:cs="Times New Roman"/>
                <w:sz w:val="20"/>
                <w:szCs w:val="20"/>
                <w:highlight w:val="none"/>
              </w:rPr>
            </w:pPr>
            <w:r>
              <w:rPr>
                <w:rFonts w:hint="default" w:ascii="Times New Roman" w:hAnsi="Times New Roman" w:eastAsia="Times New Roman" w:cs="Times New Roman"/>
                <w:color w:val="000000"/>
                <w:sz w:val="20"/>
                <w:szCs w:val="20"/>
                <w:highlight w:val="none"/>
                <w:rtl w:val="0"/>
                <w:lang w:val="uk-UA"/>
              </w:rPr>
              <w:t>1</w:t>
            </w:r>
            <w:r>
              <w:rPr>
                <w:rFonts w:ascii="Times New Roman" w:hAnsi="Times New Roman" w:eastAsia="Times New Roman" w:cs="Times New Roman"/>
                <w:color w:val="000000"/>
                <w:sz w:val="20"/>
                <w:szCs w:val="20"/>
                <w:highlight w:val="none"/>
                <w:rtl w:val="0"/>
              </w:rPr>
              <w:t xml:space="preserve">.1.2. не менше 1 копії договору, зазначеного </w:t>
            </w:r>
            <w:r>
              <w:rPr>
                <w:rFonts w:ascii="Times New Roman" w:hAnsi="Times New Roman" w:eastAsia="Times New Roman" w:cs="Times New Roman"/>
                <w:sz w:val="20"/>
                <w:szCs w:val="20"/>
                <w:highlight w:val="none"/>
                <w:rtl w:val="0"/>
              </w:rPr>
              <w:t>в</w:t>
            </w:r>
            <w:r>
              <w:rPr>
                <w:rFonts w:ascii="Times New Roman" w:hAnsi="Times New Roman" w:eastAsia="Times New Roman" w:cs="Times New Roman"/>
                <w:color w:val="000000"/>
                <w:sz w:val="20"/>
                <w:szCs w:val="20"/>
                <w:highlight w:val="none"/>
                <w:rtl w:val="0"/>
              </w:rPr>
              <w:t xml:space="preserve"> довідці </w:t>
            </w:r>
            <w:r>
              <w:rPr>
                <w:rFonts w:ascii="Times New Roman" w:hAnsi="Times New Roman" w:eastAsia="Times New Roman" w:cs="Times New Roman"/>
                <w:sz w:val="20"/>
                <w:szCs w:val="20"/>
                <w:highlight w:val="none"/>
                <w:rtl w:val="0"/>
              </w:rPr>
              <w:t>в</w:t>
            </w:r>
            <w:r>
              <w:rPr>
                <w:rFonts w:ascii="Times New Roman" w:hAnsi="Times New Roman" w:eastAsia="Times New Roman" w:cs="Times New Roman"/>
                <w:color w:val="000000"/>
                <w:sz w:val="20"/>
                <w:szCs w:val="20"/>
                <w:highlight w:val="none"/>
                <w:rtl w:val="0"/>
              </w:rPr>
              <w:t xml:space="preserve"> повному обсязі,</w:t>
            </w:r>
          </w:p>
          <w:p>
            <w:pPr>
              <w:spacing w:after="0" w:line="240" w:lineRule="auto"/>
              <w:jc w:val="both"/>
              <w:rPr>
                <w:rFonts w:ascii="Times New Roman" w:hAnsi="Times New Roman" w:eastAsia="Times New Roman" w:cs="Times New Roman"/>
                <w:color w:val="4A86E8"/>
                <w:sz w:val="20"/>
                <w:szCs w:val="20"/>
                <w:highlight w:val="none"/>
              </w:rPr>
            </w:pPr>
            <w:r>
              <w:rPr>
                <w:rFonts w:hint="default" w:ascii="Times New Roman" w:hAnsi="Times New Roman" w:eastAsia="Times New Roman" w:cs="Times New Roman"/>
                <w:color w:val="000000"/>
                <w:sz w:val="20"/>
                <w:szCs w:val="20"/>
                <w:highlight w:val="none"/>
                <w:rtl w:val="0"/>
                <w:lang w:val="uk-UA"/>
              </w:rPr>
              <w:t>1</w:t>
            </w:r>
            <w:r>
              <w:rPr>
                <w:rFonts w:ascii="Times New Roman" w:hAnsi="Times New Roman" w:eastAsia="Times New Roman" w:cs="Times New Roman"/>
                <w:color w:val="000000"/>
                <w:sz w:val="20"/>
                <w:szCs w:val="20"/>
                <w:highlight w:val="none"/>
                <w:rtl w:val="0"/>
              </w:rPr>
              <w:t xml:space="preserve">.1.3. </w:t>
            </w:r>
            <w:r>
              <w:rPr>
                <w:rFonts w:ascii="Times New Roman" w:hAnsi="Times New Roman" w:eastAsia="Times New Roman" w:cs="Times New Roman"/>
                <w:color w:val="auto"/>
                <w:sz w:val="20"/>
                <w:szCs w:val="20"/>
                <w:highlight w:val="none"/>
                <w:rtl w:val="0"/>
              </w:rPr>
              <w:t>копії/ю документів/а на підтвердження виконання не менше ніж одного договору, зазначеного в наданій Учасником довідці</w:t>
            </w:r>
            <w:r>
              <w:rPr>
                <w:rFonts w:hint="default" w:ascii="Times New Roman" w:hAnsi="Times New Roman" w:eastAsia="Times New Roman" w:cs="Times New Roman"/>
                <w:color w:val="auto"/>
                <w:sz w:val="20"/>
                <w:szCs w:val="20"/>
                <w:highlight w:val="none"/>
                <w:rtl w:val="0"/>
                <w:lang w:val="uk-UA"/>
              </w:rPr>
              <w:t xml:space="preserve"> </w:t>
            </w:r>
            <w:r>
              <w:rPr>
                <w:rFonts w:hint="default" w:ascii="Times New Roman" w:hAnsi="Times New Roman" w:eastAsia="SimSun" w:cs="Times New Roman"/>
                <w:i w:val="0"/>
                <w:iCs w:val="0"/>
                <w:caps w:val="0"/>
                <w:color w:val="000000"/>
                <w:spacing w:val="0"/>
                <w:sz w:val="20"/>
                <w:szCs w:val="20"/>
                <w:highlight w:val="none"/>
              </w:rPr>
              <w:t>(видаткова накладна, або акт приймання-передачі, або іншій документ)</w:t>
            </w:r>
            <w:r>
              <w:rPr>
                <w:rFonts w:hint="default" w:ascii="Times New Roman" w:hAnsi="Times New Roman" w:eastAsia="SimSun" w:cs="Times New Roman"/>
                <w:i w:val="0"/>
                <w:iCs w:val="0"/>
                <w:caps w:val="0"/>
                <w:color w:val="000000"/>
                <w:spacing w:val="0"/>
                <w:sz w:val="20"/>
                <w:szCs w:val="20"/>
                <w:highlight w:val="none"/>
                <w:lang w:val="uk-UA"/>
              </w:rPr>
              <w:t>.</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i/>
                <w:color w:val="auto"/>
                <w:sz w:val="20"/>
                <w:szCs w:val="20"/>
                <w:highlight w:val="none"/>
                <w:rtl w:val="0"/>
              </w:rPr>
              <w:t>Аналогічний договір нада</w:t>
            </w:r>
            <w:r>
              <w:rPr>
                <w:rFonts w:ascii="Times New Roman" w:hAnsi="Times New Roman" w:eastAsia="Times New Roman" w:cs="Times New Roman"/>
                <w:i/>
                <w:color w:val="auto"/>
                <w:sz w:val="20"/>
                <w:szCs w:val="20"/>
                <w:highlight w:val="none"/>
                <w:rtl w:val="0"/>
                <w:lang w:val="uk-UA"/>
              </w:rPr>
              <w:t>ється</w:t>
            </w:r>
            <w:r>
              <w:rPr>
                <w:rFonts w:ascii="Times New Roman" w:hAnsi="Times New Roman" w:eastAsia="Times New Roman" w:cs="Times New Roman"/>
                <w:i/>
                <w:color w:val="auto"/>
                <w:sz w:val="20"/>
                <w:szCs w:val="20"/>
                <w:highlight w:val="none"/>
                <w:rtl w:val="0"/>
              </w:rPr>
              <w:t xml:space="preserve"> з додатк</w:t>
            </w:r>
            <w:r>
              <w:rPr>
                <w:rFonts w:ascii="Times New Roman" w:hAnsi="Times New Roman" w:eastAsia="Times New Roman" w:cs="Times New Roman"/>
                <w:i/>
                <w:color w:val="auto"/>
                <w:sz w:val="20"/>
                <w:szCs w:val="20"/>
                <w:highlight w:val="none"/>
                <w:rtl w:val="0"/>
                <w:lang w:val="uk-UA"/>
              </w:rPr>
              <w:t>ами</w:t>
            </w:r>
            <w:r>
              <w:rPr>
                <w:rFonts w:ascii="Times New Roman" w:hAnsi="Times New Roman" w:eastAsia="Times New Roman" w:cs="Times New Roman"/>
                <w:i/>
                <w:color w:val="auto"/>
                <w:sz w:val="20"/>
                <w:szCs w:val="20"/>
                <w:highlight w:val="none"/>
                <w:rtl w:val="0"/>
              </w:rPr>
              <w:t>, специфікаці</w:t>
            </w:r>
            <w:r>
              <w:rPr>
                <w:rFonts w:ascii="Times New Roman" w:hAnsi="Times New Roman" w:eastAsia="Times New Roman" w:cs="Times New Roman"/>
                <w:i/>
                <w:color w:val="auto"/>
                <w:sz w:val="20"/>
                <w:szCs w:val="20"/>
                <w:highlight w:val="none"/>
                <w:rtl w:val="0"/>
                <w:lang w:val="uk-UA"/>
              </w:rPr>
              <w:t>ями</w:t>
            </w:r>
            <w:r>
              <w:rPr>
                <w:rFonts w:ascii="Times New Roman" w:hAnsi="Times New Roman" w:eastAsia="Times New Roman" w:cs="Times New Roman"/>
                <w:i/>
                <w:color w:val="auto"/>
                <w:sz w:val="20"/>
                <w:szCs w:val="20"/>
                <w:highlight w:val="none"/>
                <w:rtl w:val="0"/>
              </w:rPr>
              <w:t>, додаткови</w:t>
            </w:r>
            <w:r>
              <w:rPr>
                <w:rFonts w:ascii="Times New Roman" w:hAnsi="Times New Roman" w:eastAsia="Times New Roman" w:cs="Times New Roman"/>
                <w:i/>
                <w:color w:val="auto"/>
                <w:sz w:val="20"/>
                <w:szCs w:val="20"/>
                <w:highlight w:val="none"/>
                <w:rtl w:val="0"/>
                <w:lang w:val="uk-UA"/>
              </w:rPr>
              <w:t>ми</w:t>
            </w:r>
            <w:r>
              <w:rPr>
                <w:rFonts w:ascii="Times New Roman" w:hAnsi="Times New Roman" w:eastAsia="Times New Roman" w:cs="Times New Roman"/>
                <w:i/>
                <w:color w:val="auto"/>
                <w:sz w:val="20"/>
                <w:szCs w:val="20"/>
                <w:highlight w:val="none"/>
                <w:rtl w:val="0"/>
              </w:rPr>
              <w:t xml:space="preserve"> угод</w:t>
            </w:r>
            <w:r>
              <w:rPr>
                <w:rFonts w:ascii="Times New Roman" w:hAnsi="Times New Roman" w:eastAsia="Times New Roman" w:cs="Times New Roman"/>
                <w:i/>
                <w:color w:val="auto"/>
                <w:sz w:val="20"/>
                <w:szCs w:val="20"/>
                <w:highlight w:val="none"/>
                <w:rtl w:val="0"/>
                <w:lang w:val="uk-UA"/>
              </w:rPr>
              <w:t>ами</w:t>
            </w:r>
            <w:r>
              <w:rPr>
                <w:rFonts w:ascii="Times New Roman" w:hAnsi="Times New Roman" w:eastAsia="Times New Roman" w:cs="Times New Roman"/>
                <w:i/>
                <w:color w:val="auto"/>
                <w:sz w:val="20"/>
                <w:szCs w:val="20"/>
                <w:highlight w:val="none"/>
                <w:rtl w:val="0"/>
              </w:rPr>
              <w:t>, тощо до аналогічного договору, які зазначені в ньому як невід’ємні частини  договору.</w:t>
            </w:r>
          </w:p>
        </w:tc>
      </w:tr>
      <w:tr>
        <w:tblPrEx>
          <w:tblCellMar>
            <w:top w:w="15" w:type="dxa"/>
            <w:left w:w="15" w:type="dxa"/>
            <w:bottom w:w="15" w:type="dxa"/>
            <w:right w:w="15" w:type="dxa"/>
          </w:tblCellMar>
        </w:tblPrEx>
        <w:trPr>
          <w:trHeight w:val="815" w:hRule="atLeast"/>
          <w:jc w:val="center"/>
        </w:trPr>
        <w:tc>
          <w:tcPr>
            <w:gridSpan w:val="3"/>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0"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tl w:val="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pPr>
        <w:spacing w:before="20" w:after="20" w:line="240" w:lineRule="auto"/>
        <w:jc w:val="both"/>
        <w:rPr>
          <w:rFonts w:ascii="Times New Roman" w:hAnsi="Times New Roman" w:eastAsia="Times New Roman" w:cs="Times New Roman"/>
          <w:b/>
          <w:sz w:val="20"/>
          <w:szCs w:val="20"/>
        </w:rPr>
      </w:pPr>
    </w:p>
    <w:p>
      <w:pPr>
        <w:spacing w:before="20" w:after="20" w:line="240" w:lineRule="auto"/>
        <w:jc w:val="both"/>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rtl w:val="0"/>
        </w:rPr>
        <w:t xml:space="preserve">2. </w:t>
      </w:r>
      <w:r>
        <w:rPr>
          <w:rFonts w:ascii="Times New Roman" w:hAnsi="Times New Roman" w:eastAsia="Times New Roman" w:cs="Times New Roman"/>
          <w:b/>
          <w:color w:val="000000"/>
          <w:sz w:val="24"/>
          <w:szCs w:val="24"/>
          <w:rtl w:val="0"/>
        </w:rPr>
        <w:t xml:space="preserve">Підтвердження відповідності УЧАСНИКА </w:t>
      </w:r>
      <w:r>
        <w:rPr>
          <w:rFonts w:ascii="Times New Roman" w:hAnsi="Times New Roman" w:eastAsia="Times New Roman" w:cs="Times New Roman"/>
          <w:b/>
          <w:sz w:val="24"/>
          <w:szCs w:val="24"/>
          <w:rtl w:val="0"/>
        </w:rPr>
        <w:t>(в тому числі для об’єднання учасників як учасника процедури)  вимогам, визначени</w:t>
      </w:r>
      <w:r>
        <w:rPr>
          <w:rFonts w:ascii="Times New Roman" w:hAnsi="Times New Roman" w:eastAsia="Times New Roman" w:cs="Times New Roman"/>
          <w:b/>
          <w:sz w:val="24"/>
          <w:szCs w:val="24"/>
          <w:highlight w:val="white"/>
          <w:rtl w:val="0"/>
        </w:rPr>
        <w:t>м у пункті 47 Особливостей.</w:t>
      </w:r>
    </w:p>
    <w:p>
      <w:pPr>
        <w:spacing w:after="0"/>
        <w:ind w:firstLine="567"/>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spacing w:after="0"/>
        <w:ind w:firstLine="567"/>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pacing w:after="0"/>
        <w:ind w:firstLine="567"/>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Учасник  </w:t>
      </w:r>
      <w:r>
        <w:rPr>
          <w:rFonts w:ascii="Times New Roman" w:hAnsi="Times New Roman" w:eastAsia="Times New Roman" w:cs="Times New Roman"/>
          <w:sz w:val="20"/>
          <w:szCs w:val="20"/>
          <w:highlight w:val="none"/>
          <w:rtl w:val="0"/>
        </w:rPr>
        <w:t xml:space="preserve">повинен надати </w:t>
      </w:r>
      <w:r>
        <w:rPr>
          <w:rFonts w:ascii="Times New Roman" w:hAnsi="Times New Roman" w:eastAsia="Times New Roman" w:cs="Times New Roman"/>
          <w:b/>
          <w:sz w:val="20"/>
          <w:szCs w:val="20"/>
          <w:highlight w:val="none"/>
          <w:rtl w:val="0"/>
        </w:rPr>
        <w:t>довідку у довільній формі</w:t>
      </w:r>
      <w:r>
        <w:rPr>
          <w:rFonts w:ascii="Times New Roman" w:hAnsi="Times New Roman" w:eastAsia="Times New Roman" w:cs="Times New Roman"/>
          <w:sz w:val="20"/>
          <w:szCs w:val="20"/>
          <w:highlight w:val="none"/>
          <w:rtl w:val="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w:t>
      </w:r>
      <w:r>
        <w:rPr>
          <w:rFonts w:ascii="Times New Roman" w:hAnsi="Times New Roman" w:eastAsia="Times New Roman" w:cs="Times New Roman"/>
          <w:sz w:val="20"/>
          <w:szCs w:val="20"/>
          <w:rtl w:val="0"/>
        </w:rPr>
        <w:t>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i/>
          <w:color w:val="auto"/>
          <w:sz w:val="20"/>
          <w:szCs w:val="20"/>
        </w:rPr>
      </w:pPr>
      <w:r>
        <w:rPr>
          <w:rFonts w:ascii="Times New Roman" w:hAnsi="Times New Roman" w:eastAsia="Times New Roman" w:cs="Times New Roman"/>
          <w:i/>
          <w:color w:val="auto"/>
          <w:sz w:val="20"/>
          <w:szCs w:val="20"/>
          <w:rtl w:val="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sz w:val="24"/>
          <w:szCs w:val="24"/>
          <w:rtl w:val="0"/>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rtl w:val="0"/>
        </w:rPr>
        <w:t xml:space="preserve">3. </w:t>
      </w:r>
      <w:r>
        <w:rPr>
          <w:rFonts w:ascii="Times New Roman" w:hAnsi="Times New Roman" w:eastAsia="Times New Roman" w:cs="Times New Roman"/>
          <w:b/>
          <w:color w:val="000000"/>
          <w:sz w:val="24"/>
          <w:szCs w:val="24"/>
          <w:rtl w:val="0"/>
        </w:rPr>
        <w:t xml:space="preserve">Перелік документів та інформації  для підтвердження відповідності ПЕРЕМОЖЦЯ вимогам, </w:t>
      </w:r>
      <w:r>
        <w:rPr>
          <w:rFonts w:ascii="Times New Roman" w:hAnsi="Times New Roman" w:eastAsia="Times New Roman" w:cs="Times New Roman"/>
          <w:b/>
          <w:sz w:val="24"/>
          <w:szCs w:val="24"/>
          <w:rtl w:val="0"/>
        </w:rPr>
        <w:t>визначеним у пун</w:t>
      </w:r>
      <w:r>
        <w:rPr>
          <w:rFonts w:ascii="Times New Roman" w:hAnsi="Times New Roman" w:eastAsia="Times New Roman" w:cs="Times New Roman"/>
          <w:b/>
          <w:sz w:val="24"/>
          <w:szCs w:val="24"/>
          <w:highlight w:val="white"/>
          <w:rtl w:val="0"/>
        </w:rPr>
        <w:t xml:space="preserve">кті </w:t>
      </w:r>
      <w:r>
        <w:rPr>
          <w:rFonts w:ascii="Times New Roman" w:hAnsi="Times New Roman" w:eastAsia="Times New Roman" w:cs="Times New Roman"/>
          <w:sz w:val="24"/>
          <w:szCs w:val="24"/>
          <w:highlight w:val="white"/>
          <w:rtl w:val="0"/>
        </w:rPr>
        <w:t>47</w:t>
      </w:r>
      <w:r>
        <w:rPr>
          <w:rFonts w:ascii="Times New Roman" w:hAnsi="Times New Roman" w:eastAsia="Times New Roman" w:cs="Times New Roman"/>
          <w:b/>
          <w:sz w:val="24"/>
          <w:szCs w:val="24"/>
          <w:highlight w:val="white"/>
          <w:rtl w:val="0"/>
        </w:rPr>
        <w:t xml:space="preserve">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Переможець процедури закупівлі у строк, що </w:t>
      </w:r>
      <w:r>
        <w:rPr>
          <w:rFonts w:ascii="Times New Roman" w:hAnsi="Times New Roman" w:eastAsia="Times New Roman" w:cs="Times New Roman"/>
          <w:b/>
          <w:i/>
          <w:sz w:val="20"/>
          <w:szCs w:val="20"/>
          <w:highlight w:val="white"/>
          <w:rtl w:val="0"/>
        </w:rPr>
        <w:t xml:space="preserve">не перевищує чотири дні </w:t>
      </w:r>
      <w:r>
        <w:rPr>
          <w:rFonts w:ascii="Times New Roman" w:hAnsi="Times New Roman" w:eastAsia="Times New Roman" w:cs="Times New Roman"/>
          <w:sz w:val="20"/>
          <w:szCs w:val="20"/>
          <w:highlight w:val="white"/>
          <w:rtl w:val="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sz w:val="20"/>
          <w:szCs w:val="20"/>
          <w:highlight w:val="none"/>
        </w:rPr>
      </w:pPr>
      <w:r>
        <w:rPr>
          <w:rFonts w:ascii="Times New Roman" w:hAnsi="Times New Roman" w:eastAsia="Times New Roman" w:cs="Times New Roman"/>
          <w:sz w:val="20"/>
          <w:szCs w:val="20"/>
          <w:highlight w:val="none"/>
          <w:rtl w:val="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line="240" w:lineRule="auto"/>
        <w:rPr>
          <w:rFonts w:ascii="Times New Roman" w:hAnsi="Times New Roman" w:eastAsia="Times New Roman" w:cs="Times New Roman"/>
          <w:b/>
          <w:sz w:val="20"/>
          <w:szCs w:val="20"/>
          <w:highlight w:val="white"/>
        </w:rPr>
      </w:pPr>
    </w:p>
    <w:p>
      <w:pPr>
        <w:spacing w:after="0" w:line="240" w:lineRule="auto"/>
        <w:rPr>
          <w:rFonts w:ascii="Times New Roman" w:hAnsi="Times New Roman" w:eastAsia="Times New Roman" w:cs="Times New Roman"/>
          <w:b/>
          <w:color w:val="000000"/>
          <w:sz w:val="20"/>
          <w:szCs w:val="20"/>
          <w:highlight w:val="white"/>
        </w:rPr>
      </w:pPr>
      <w:r>
        <w:rPr>
          <w:rFonts w:ascii="Times New Roman" w:hAnsi="Times New Roman" w:eastAsia="Times New Roman" w:cs="Times New Roman"/>
          <w:color w:val="000000"/>
          <w:sz w:val="20"/>
          <w:szCs w:val="20"/>
          <w:highlight w:val="white"/>
          <w:rtl w:val="0"/>
        </w:rPr>
        <w:t> </w:t>
      </w:r>
      <w:r>
        <w:rPr>
          <w:rFonts w:ascii="Times New Roman" w:hAnsi="Times New Roman" w:eastAsia="Times New Roman" w:cs="Times New Roman"/>
          <w:b/>
          <w:color w:val="000000"/>
          <w:sz w:val="20"/>
          <w:szCs w:val="20"/>
          <w:highlight w:val="white"/>
          <w:rtl w:val="0"/>
        </w:rPr>
        <w:t>3.1. Документи, які надаються  ПЕРЕМОЖЦЕМ (юридичною особою):</w:t>
      </w:r>
    </w:p>
    <w:tbl>
      <w:tblPr>
        <w:tblStyle w:val="33"/>
        <w:tblW w:w="9618" w:type="dxa"/>
        <w:tblInd w:w="-100" w:type="dxa"/>
        <w:tblLayout w:type="fixed"/>
        <w:tblCellMar>
          <w:top w:w="15" w:type="dxa"/>
          <w:left w:w="15" w:type="dxa"/>
          <w:bottom w:w="15" w:type="dxa"/>
          <w:right w:w="15" w:type="dxa"/>
        </w:tblCellMar>
      </w:tblPr>
      <w:tblGrid>
        <w:gridCol w:w="765"/>
        <w:gridCol w:w="4350"/>
        <w:gridCol w:w="4503"/>
      </w:tblGrid>
      <w:tr>
        <w:tblPrEx>
          <w:tblCellMar>
            <w:top w:w="15" w:type="dxa"/>
            <w:left w:w="15" w:type="dxa"/>
            <w:bottom w:w="15" w:type="dxa"/>
            <w:right w:w="15" w:type="dxa"/>
          </w:tblCellMar>
        </w:tblPrEx>
        <w:trPr>
          <w:trHeight w:val="1005"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color w:val="000000"/>
                <w:sz w:val="20"/>
                <w:szCs w:val="20"/>
                <w:highlight w:val="white"/>
                <w:rtl w:val="0"/>
              </w:rPr>
              <w:t>№</w:t>
            </w:r>
          </w:p>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з</w:t>
            </w:r>
            <w:r>
              <w:rPr>
                <w:rFonts w:ascii="Times New Roman" w:hAnsi="Times New Roman" w:eastAsia="Times New Roman" w:cs="Times New Roman"/>
                <w:b/>
                <w:color w:val="000000"/>
                <w:sz w:val="20"/>
                <w:szCs w:val="20"/>
                <w:highlight w:val="white"/>
                <w:rtl w:val="0"/>
              </w:rPr>
              <w:t>/п</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Вимоги згідно п. 47 Особливостей</w:t>
            </w:r>
          </w:p>
          <w:p>
            <w:pPr>
              <w:spacing w:after="0" w:line="240" w:lineRule="auto"/>
              <w:ind w:left="100" w:firstLine="0"/>
              <w:jc w:val="center"/>
              <w:rPr>
                <w:rFonts w:ascii="Times New Roman" w:hAnsi="Times New Roman" w:eastAsia="Times New Roman" w:cs="Times New Roman"/>
                <w:b/>
                <w:sz w:val="20"/>
                <w:szCs w:val="20"/>
                <w:highlight w:val="white"/>
              </w:rPr>
            </w:pP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Переможець торгів на виконання вимоги згідно п. 47 Особливостей (підтвердження відсутності підстав) повинен надати таку інформацію:</w:t>
            </w:r>
          </w:p>
        </w:tc>
      </w:tr>
      <w:tr>
        <w:tblPrEx>
          <w:tblCellMar>
            <w:top w:w="15" w:type="dxa"/>
            <w:left w:w="15" w:type="dxa"/>
            <w:bottom w:w="15" w:type="dxa"/>
            <w:right w:w="15" w:type="dxa"/>
          </w:tblCellMar>
        </w:tblPrEx>
        <w:trPr>
          <w:trHeight w:val="1723"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color w:val="000000"/>
                <w:sz w:val="20"/>
                <w:szCs w:val="20"/>
                <w:highlight w:val="white"/>
                <w:rtl w:val="0"/>
              </w:rPr>
              <w:t>1</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(підпункт 3 пункт 47 Особливостей)</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ind w:right="140"/>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Перевіряється безпосередньо замовником самостійно, крім випадків, коли доступ до такої інформації є обмеженим*.</w:t>
            </w:r>
          </w:p>
          <w:p>
            <w:pPr>
              <w:spacing w:after="0" w:line="276" w:lineRule="auto"/>
              <w:ind w:right="140"/>
              <w:jc w:val="both"/>
              <w:rPr>
                <w:rFonts w:ascii="Times New Roman" w:hAnsi="Times New Roman" w:eastAsia="Times New Roman" w:cs="Times New Roman"/>
                <w:i/>
                <w:sz w:val="20"/>
                <w:szCs w:val="20"/>
                <w:highlight w:val="white"/>
              </w:rPr>
            </w:pPr>
            <w:r>
              <w:rPr>
                <w:rFonts w:ascii="Times New Roman" w:hAnsi="Times New Roman" w:eastAsia="Times New Roman" w:cs="Times New Roman"/>
                <w:i/>
                <w:sz w:val="20"/>
                <w:szCs w:val="20"/>
                <w:highlight w:val="white"/>
                <w:rtl w:val="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hAnsi="Times New Roman" w:eastAsia="Times New Roman" w:cs="Times New Roman"/>
                <w:b/>
                <w:i/>
                <w:sz w:val="20"/>
                <w:szCs w:val="20"/>
                <w:highlight w:val="white"/>
                <w:rtl w:val="0"/>
              </w:rPr>
              <w:t xml:space="preserve"> </w:t>
            </w:r>
            <w:r>
              <w:rPr>
                <w:rFonts w:ascii="Times New Roman" w:hAnsi="Times New Roman" w:eastAsia="Times New Roman" w:cs="Times New Roman"/>
                <w:i/>
                <w:sz w:val="20"/>
                <w:szCs w:val="20"/>
                <w:highlight w:val="white"/>
                <w:rtl w:val="0"/>
              </w:rPr>
              <w:t>свою роботу, так і відкриватись, поновлюватись у період воєнного стану.</w:t>
            </w:r>
          </w:p>
          <w:p>
            <w:pPr>
              <w:spacing w:after="0" w:line="256" w:lineRule="auto"/>
              <w:ind w:right="140"/>
              <w:jc w:val="both"/>
              <w:rPr>
                <w:rFonts w:ascii="Times New Roman" w:hAnsi="Times New Roman" w:eastAsia="Times New Roman" w:cs="Times New Roman"/>
                <w:i/>
                <w:sz w:val="20"/>
                <w:szCs w:val="20"/>
                <w:highlight w:val="white"/>
              </w:rPr>
            </w:pPr>
            <w:r>
              <w:rPr>
                <w:rFonts w:ascii="Times New Roman" w:hAnsi="Times New Roman" w:eastAsia="Times New Roman" w:cs="Times New Roman"/>
                <w:i/>
                <w:sz w:val="20"/>
                <w:szCs w:val="20"/>
                <w:highlight w:val="white"/>
                <w:rtl w:val="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eastAsia="Times New Roman" w:cs="Times New Roman"/>
                <w:b/>
                <w:i/>
                <w:sz w:val="20"/>
                <w:szCs w:val="20"/>
                <w:highlight w:val="white"/>
                <w:rtl w:val="0"/>
              </w:rPr>
              <w:t>керівника учасника</w:t>
            </w:r>
            <w:r>
              <w:rPr>
                <w:rFonts w:ascii="Times New Roman" w:hAnsi="Times New Roman" w:eastAsia="Times New Roman" w:cs="Times New Roman"/>
                <w:i/>
                <w:sz w:val="20"/>
                <w:szCs w:val="20"/>
                <w:highlight w:val="white"/>
                <w:rtl w:val="0"/>
              </w:rPr>
              <w:t xml:space="preserve"> процедури закупівлі,на виконання абзацу 15 пункту 47 Особливостей надається переможцем торгів.</w:t>
            </w:r>
          </w:p>
        </w:tc>
      </w:tr>
      <w:tr>
        <w:tblPrEx>
          <w:tblCellMar>
            <w:top w:w="15" w:type="dxa"/>
            <w:left w:w="15" w:type="dxa"/>
            <w:bottom w:w="15" w:type="dxa"/>
            <w:right w:w="15" w:type="dxa"/>
          </w:tblCellMar>
        </w:tblPrEx>
        <w:trPr>
          <w:trHeight w:val="2152"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color w:val="000000"/>
                <w:sz w:val="20"/>
                <w:szCs w:val="20"/>
                <w:highlight w:val="white"/>
                <w:rtl w:val="0"/>
              </w:rPr>
              <w:t>2</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(підпункт 6 пункт 47 Особливостей)</w:t>
            </w:r>
          </w:p>
        </w:tc>
        <w:tc>
          <w:tcPr>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pPr>
              <w:spacing w:after="0" w:line="240" w:lineRule="auto"/>
              <w:jc w:val="both"/>
              <w:rPr>
                <w:rFonts w:ascii="Times New Roman" w:hAnsi="Times New Roman" w:eastAsia="Times New Roman" w:cs="Times New Roman"/>
                <w:b/>
                <w:sz w:val="20"/>
                <w:szCs w:val="20"/>
                <w:highlight w:val="white"/>
              </w:rPr>
            </w:pPr>
          </w:p>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Документ повинен бути виданий/ сформований/ отриманий в поточному році. </w:t>
            </w:r>
          </w:p>
        </w:tc>
      </w:tr>
      <w:tr>
        <w:tblPrEx>
          <w:tblCellMar>
            <w:top w:w="15" w:type="dxa"/>
            <w:left w:w="15" w:type="dxa"/>
            <w:bottom w:w="15" w:type="dxa"/>
            <w:right w:w="15" w:type="dxa"/>
          </w:tblCellMar>
        </w:tblPrEx>
        <w:trPr>
          <w:trHeight w:val="2115"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3</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(підпункт 12 пункт 47 Особливостей)</w:t>
            </w:r>
          </w:p>
        </w:tc>
        <w:tc>
          <w:tcPr>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sz w:val="20"/>
                <w:szCs w:val="20"/>
              </w:rPr>
            </w:pPr>
          </w:p>
        </w:tc>
      </w:tr>
      <w:tr>
        <w:tblPrEx>
          <w:tblCellMar>
            <w:top w:w="15" w:type="dxa"/>
            <w:left w:w="15" w:type="dxa"/>
            <w:bottom w:w="15" w:type="dxa"/>
            <w:right w:w="15" w:type="dxa"/>
          </w:tblCellMar>
        </w:tblPrEx>
        <w:trPr>
          <w:trHeight w:val="862"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4</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(абзац 14 пункт 47 Особливостей)</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spacing w:after="348"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Довідка в довільній формі</w:t>
            </w:r>
            <w:r>
              <w:rPr>
                <w:rFonts w:ascii="Times New Roman" w:hAnsi="Times New Roman" w:eastAsia="Times New Roman" w:cs="Times New Roman"/>
                <w:sz w:val="20"/>
                <w:szCs w:val="20"/>
                <w:highlight w:val="white"/>
                <w:rtl w:val="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pacing w:after="0" w:line="240" w:lineRule="auto"/>
        <w:rPr>
          <w:rFonts w:ascii="Times New Roman" w:hAnsi="Times New Roman" w:eastAsia="Times New Roman" w:cs="Times New Roman"/>
          <w:b/>
          <w:color w:val="000000"/>
          <w:sz w:val="20"/>
          <w:szCs w:val="20"/>
        </w:rPr>
      </w:pPr>
    </w:p>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3.2. Документи, які надаються ПЕРЕМОЖЦЕМ (фізичною особою чи фізичною особою</w:t>
      </w:r>
      <w:r>
        <w:rPr>
          <w:rFonts w:ascii="Times New Roman" w:hAnsi="Times New Roman" w:eastAsia="Times New Roman" w:cs="Times New Roman"/>
          <w:b/>
          <w:sz w:val="20"/>
          <w:szCs w:val="20"/>
          <w:rtl w:val="0"/>
        </w:rPr>
        <w:t xml:space="preserve"> — </w:t>
      </w:r>
      <w:r>
        <w:rPr>
          <w:rFonts w:ascii="Times New Roman" w:hAnsi="Times New Roman" w:eastAsia="Times New Roman" w:cs="Times New Roman"/>
          <w:b/>
          <w:color w:val="000000"/>
          <w:sz w:val="20"/>
          <w:szCs w:val="20"/>
          <w:rtl w:val="0"/>
        </w:rPr>
        <w:t>підприємцем):</w:t>
      </w:r>
    </w:p>
    <w:tbl>
      <w:tblPr>
        <w:tblStyle w:val="34"/>
        <w:tblW w:w="9619" w:type="dxa"/>
        <w:tblInd w:w="-100" w:type="dxa"/>
        <w:tblLayout w:type="fixed"/>
        <w:tblCellMar>
          <w:top w:w="15" w:type="dxa"/>
          <w:left w:w="15" w:type="dxa"/>
          <w:bottom w:w="15" w:type="dxa"/>
          <w:right w:w="15" w:type="dxa"/>
        </w:tblCellMar>
      </w:tblPr>
      <w:tblGrid>
        <w:gridCol w:w="587"/>
        <w:gridCol w:w="4427"/>
        <w:gridCol w:w="4605"/>
      </w:tblGrid>
      <w:tr>
        <w:tblPrEx>
          <w:tblCellMar>
            <w:top w:w="15" w:type="dxa"/>
            <w:left w:w="15" w:type="dxa"/>
            <w:bottom w:w="15" w:type="dxa"/>
            <w:right w:w="15" w:type="dxa"/>
          </w:tblCellMar>
        </w:tblPrEx>
        <w:trPr>
          <w:trHeight w:val="874"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w:t>
            </w:r>
          </w:p>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з</w:t>
            </w:r>
            <w:r>
              <w:rPr>
                <w:rFonts w:ascii="Times New Roman" w:hAnsi="Times New Roman" w:eastAsia="Times New Roman" w:cs="Times New Roman"/>
                <w:b/>
                <w:color w:val="000000"/>
                <w:sz w:val="20"/>
                <w:szCs w:val="20"/>
                <w:rtl w:val="0"/>
              </w:rPr>
              <w:t>/п</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Вимоги згідно пункту 47 Особливостей</w:t>
            </w:r>
          </w:p>
          <w:p>
            <w:pPr>
              <w:spacing w:after="0" w:line="240" w:lineRule="auto"/>
              <w:ind w:left="100" w:firstLine="0"/>
              <w:jc w:val="center"/>
              <w:rPr>
                <w:rFonts w:ascii="Times New Roman" w:hAnsi="Times New Roman" w:eastAsia="Times New Roman" w:cs="Times New Roman"/>
                <w:b/>
                <w:sz w:val="20"/>
                <w:szCs w:val="20"/>
                <w:highlight w:val="white"/>
              </w:rPr>
            </w:pP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 xml:space="preserve">Переможець </w:t>
            </w:r>
            <w:r>
              <w:rPr>
                <w:rFonts w:ascii="Times New Roman" w:hAnsi="Times New Roman" w:eastAsia="Times New Roman" w:cs="Times New Roman"/>
                <w:b/>
                <w:sz w:val="20"/>
                <w:szCs w:val="20"/>
                <w:highlight w:val="white"/>
                <w:rtl w:val="0"/>
              </w:rPr>
              <w:t>торгів на виконання вимоги згідно пункту 47 Особ</w:t>
            </w:r>
            <w:r>
              <w:rPr>
                <w:rFonts w:ascii="Times New Roman" w:hAnsi="Times New Roman" w:eastAsia="Times New Roman" w:cs="Times New Roman"/>
                <w:b/>
                <w:sz w:val="20"/>
                <w:szCs w:val="20"/>
                <w:rtl w:val="0"/>
              </w:rPr>
              <w:t>ливостей (підтвердження відсутності підстав) повинен надати таку інформацію:</w:t>
            </w:r>
          </w:p>
        </w:tc>
      </w:tr>
      <w:tr>
        <w:tblPrEx>
          <w:tblCellMar>
            <w:top w:w="15" w:type="dxa"/>
            <w:left w:w="15" w:type="dxa"/>
            <w:bottom w:w="15" w:type="dxa"/>
            <w:right w:w="15" w:type="dxa"/>
          </w:tblCellMar>
        </w:tblPrEx>
        <w:trPr>
          <w:trHeight w:val="1723"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1</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(підпункт 3 пункт 47 Особливостей)</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ind w:right="140"/>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Перевіряється безпосередньо замовником самостійно, крім випадків, коли доступ до такої інформації є обмеженим*.</w:t>
            </w:r>
          </w:p>
          <w:p>
            <w:pPr>
              <w:spacing w:after="0" w:line="276" w:lineRule="auto"/>
              <w:ind w:right="140"/>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tl w:val="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hAnsi="Times New Roman" w:eastAsia="Times New Roman" w:cs="Times New Roman"/>
                <w:b/>
                <w:i/>
                <w:sz w:val="20"/>
                <w:szCs w:val="20"/>
                <w:rtl w:val="0"/>
              </w:rPr>
              <w:t xml:space="preserve"> </w:t>
            </w:r>
            <w:r>
              <w:rPr>
                <w:rFonts w:ascii="Times New Roman" w:hAnsi="Times New Roman" w:eastAsia="Times New Roman" w:cs="Times New Roman"/>
                <w:i/>
                <w:sz w:val="20"/>
                <w:szCs w:val="20"/>
                <w:rtl w:val="0"/>
              </w:rPr>
              <w:t>свою роботу, так і відкриватись, поновлюватись у період воєнного стану.</w:t>
            </w:r>
          </w:p>
          <w:p>
            <w:pPr>
              <w:spacing w:after="0" w:line="240" w:lineRule="auto"/>
              <w:ind w:right="140"/>
              <w:jc w:val="both"/>
              <w:rPr>
                <w:rFonts w:ascii="Times New Roman" w:hAnsi="Times New Roman" w:eastAsia="Times New Roman" w:cs="Times New Roman"/>
                <w:i/>
                <w:color w:val="FF0000"/>
                <w:sz w:val="20"/>
                <w:szCs w:val="20"/>
                <w:highlight w:val="yellow"/>
              </w:rPr>
            </w:pPr>
            <w:r>
              <w:rPr>
                <w:rFonts w:ascii="Times New Roman" w:hAnsi="Times New Roman" w:eastAsia="Times New Roman" w:cs="Times New Roman"/>
                <w:i/>
                <w:sz w:val="20"/>
                <w:szCs w:val="20"/>
                <w:rtl w:val="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hAnsi="Times New Roman" w:eastAsia="Times New Roman" w:cs="Times New Roman"/>
                <w:b/>
                <w:i/>
                <w:sz w:val="20"/>
                <w:szCs w:val="20"/>
                <w:rtl w:val="0"/>
              </w:rPr>
              <w:t xml:space="preserve"> </w:t>
            </w:r>
            <w:r>
              <w:rPr>
                <w:rFonts w:ascii="Times New Roman" w:hAnsi="Times New Roman" w:eastAsia="Times New Roman" w:cs="Times New Roman"/>
                <w:i/>
                <w:sz w:val="20"/>
                <w:szCs w:val="20"/>
                <w:rtl w:val="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eastAsia="Times New Roman" w:cs="Times New Roman"/>
                <w:b/>
                <w:i/>
                <w:sz w:val="20"/>
                <w:szCs w:val="20"/>
                <w:rtl w:val="0"/>
              </w:rPr>
              <w:t>фізичної особи</w:t>
            </w:r>
            <w:r>
              <w:rPr>
                <w:rFonts w:ascii="Times New Roman" w:hAnsi="Times New Roman" w:eastAsia="Times New Roman" w:cs="Times New Roman"/>
                <w:i/>
                <w:sz w:val="20"/>
                <w:szCs w:val="20"/>
                <w:rtl w:val="0"/>
              </w:rPr>
              <w:t>, яка є  учасником процедури закупівлі,на виконання абзацу 15 пункту 47 Особливостей надається переможцем торгів.</w:t>
            </w:r>
          </w:p>
        </w:tc>
      </w:tr>
      <w:tr>
        <w:tblPrEx>
          <w:tblCellMar>
            <w:top w:w="15" w:type="dxa"/>
            <w:left w:w="15" w:type="dxa"/>
            <w:bottom w:w="15" w:type="dxa"/>
            <w:right w:w="15" w:type="dxa"/>
          </w:tblCellMar>
        </w:tblPrEx>
        <w:trPr>
          <w:trHeight w:val="2152"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2</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(підпункт 5 пункт 47 Особливостей)</w:t>
            </w:r>
          </w:p>
        </w:tc>
        <w:tc>
          <w:tcPr>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tl w:val="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ascii="Times New Roman" w:hAnsi="Times New Roman" w:eastAsia="Times New Roman" w:cs="Times New Roman"/>
                <w:b/>
                <w:color w:val="000000"/>
                <w:sz w:val="20"/>
                <w:szCs w:val="20"/>
              </w:rPr>
            </w:pP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highlight w:val="white"/>
                <w:rtl w:val="0"/>
              </w:rPr>
              <w:t>Документ повинен бути виданий/ сформований/ отриманий в поточному році.</w:t>
            </w:r>
            <w:r>
              <w:rPr>
                <w:rFonts w:ascii="Times New Roman" w:hAnsi="Times New Roman" w:eastAsia="Times New Roman" w:cs="Times New Roman"/>
                <w:color w:val="000000"/>
                <w:sz w:val="20"/>
                <w:szCs w:val="20"/>
                <w:rtl w:val="0"/>
              </w:rPr>
              <w:t> </w:t>
            </w:r>
          </w:p>
        </w:tc>
      </w:tr>
      <w:tr>
        <w:tblPrEx>
          <w:tblCellMar>
            <w:top w:w="15" w:type="dxa"/>
            <w:left w:w="15" w:type="dxa"/>
            <w:bottom w:w="15" w:type="dxa"/>
            <w:right w:w="15" w:type="dxa"/>
          </w:tblCellMar>
        </w:tblPrEx>
        <w:trPr>
          <w:trHeight w:val="1635"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3</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(підпункт 12 пункт 47 Особливостей)</w:t>
            </w:r>
          </w:p>
        </w:tc>
        <w:tc>
          <w:tcPr>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sz w:val="20"/>
                <w:szCs w:val="20"/>
              </w:rPr>
            </w:pPr>
          </w:p>
        </w:tc>
      </w:tr>
      <w:tr>
        <w:tblPrEx>
          <w:tblCellMar>
            <w:top w:w="15" w:type="dxa"/>
            <w:left w:w="15" w:type="dxa"/>
            <w:bottom w:w="15" w:type="dxa"/>
            <w:right w:w="15" w:type="dxa"/>
          </w:tblCellMar>
        </w:tblPrEx>
        <w:trPr>
          <w:trHeight w:val="4092"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4</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rtl w:val="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hAnsi="Times New Roman" w:eastAsia="Times New Roman" w:cs="Times New Roman"/>
                <w:sz w:val="20"/>
                <w:szCs w:val="20"/>
                <w:highlight w:val="white"/>
                <w:rtl w:val="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(абзац 14 пункт 47 Особливостей)</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spacing w:after="348" w:line="240" w:lineRule="auto"/>
              <w:jc w:val="both"/>
              <w:rPr>
                <w:rFonts w:ascii="Times New Roman" w:hAnsi="Times New Roman" w:eastAsia="Times New Roman" w:cs="Times New Roman"/>
                <w:sz w:val="20"/>
                <w:szCs w:val="20"/>
                <w:highlight w:val="yellow"/>
              </w:rPr>
            </w:pPr>
            <w:r>
              <w:rPr>
                <w:rFonts w:ascii="Times New Roman" w:hAnsi="Times New Roman" w:eastAsia="Times New Roman" w:cs="Times New Roman"/>
                <w:b/>
                <w:sz w:val="20"/>
                <w:szCs w:val="20"/>
                <w:rtl w:val="0"/>
              </w:rPr>
              <w:t>Довідка в довільній формі</w:t>
            </w:r>
            <w:r>
              <w:rPr>
                <w:rFonts w:ascii="Times New Roman" w:hAnsi="Times New Roman" w:eastAsia="Times New Roman" w:cs="Times New Roman"/>
                <w:sz w:val="20"/>
                <w:szCs w:val="20"/>
                <w:rtl w:val="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hd w:val="clear" w:fill="FFFFFF"/>
        <w:spacing w:after="0" w:line="240" w:lineRule="auto"/>
        <w:rPr>
          <w:rFonts w:ascii="Times New Roman" w:hAnsi="Times New Roman" w:eastAsia="Times New Roman" w:cs="Times New Roman"/>
          <w:sz w:val="20"/>
          <w:szCs w:val="20"/>
        </w:rPr>
      </w:pPr>
    </w:p>
    <w:p>
      <w:pPr>
        <w:shd w:val="clear"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0"/>
          <w:szCs w:val="20"/>
          <w:rtl w:val="0"/>
        </w:rPr>
        <w:t xml:space="preserve">4. </w:t>
      </w:r>
      <w:r>
        <w:rPr>
          <w:rFonts w:ascii="Times New Roman" w:hAnsi="Times New Roman" w:eastAsia="Times New Roman" w:cs="Times New Roman"/>
          <w:b/>
          <w:color w:val="000000"/>
          <w:sz w:val="24"/>
          <w:szCs w:val="24"/>
          <w:rtl w:val="0"/>
        </w:rPr>
        <w:t xml:space="preserve">Інша інформація встановлена відповідно до законодавства (для УЧАСНИКІВ </w:t>
      </w:r>
      <w:r>
        <w:rPr>
          <w:rFonts w:ascii="Times New Roman" w:hAnsi="Times New Roman" w:eastAsia="Times New Roman" w:cs="Times New Roman"/>
          <w:b/>
          <w:sz w:val="24"/>
          <w:szCs w:val="24"/>
          <w:rtl w:val="0"/>
        </w:rPr>
        <w:t>—</w:t>
      </w:r>
      <w:r>
        <w:rPr>
          <w:rFonts w:ascii="Times New Roman" w:hAnsi="Times New Roman" w:eastAsia="Times New Roman" w:cs="Times New Roman"/>
          <w:b/>
          <w:color w:val="000000"/>
          <w:sz w:val="24"/>
          <w:szCs w:val="24"/>
          <w:rtl w:val="0"/>
        </w:rPr>
        <w:t xml:space="preserve"> юридичних осіб, фізичних осіб та фізичних осіб</w:t>
      </w:r>
      <w:r>
        <w:rPr>
          <w:rFonts w:ascii="Times New Roman" w:hAnsi="Times New Roman" w:eastAsia="Times New Roman" w:cs="Times New Roman"/>
          <w:b/>
          <w:sz w:val="24"/>
          <w:szCs w:val="24"/>
          <w:rtl w:val="0"/>
        </w:rPr>
        <w:t xml:space="preserve"> — </w:t>
      </w:r>
      <w:r>
        <w:rPr>
          <w:rFonts w:ascii="Times New Roman" w:hAnsi="Times New Roman" w:eastAsia="Times New Roman" w:cs="Times New Roman"/>
          <w:b/>
          <w:color w:val="000000"/>
          <w:sz w:val="24"/>
          <w:szCs w:val="24"/>
          <w:rtl w:val="0"/>
        </w:rPr>
        <w:t>підприємців)</w:t>
      </w:r>
      <w:r>
        <w:rPr>
          <w:rFonts w:ascii="Times New Roman" w:hAnsi="Times New Roman" w:eastAsia="Times New Roman" w:cs="Times New Roman"/>
          <w:b/>
          <w:sz w:val="24"/>
          <w:szCs w:val="24"/>
          <w:rtl w:val="0"/>
        </w:rPr>
        <w:t>.</w:t>
      </w:r>
    </w:p>
    <w:tbl>
      <w:tblPr>
        <w:tblStyle w:val="35"/>
        <w:tblW w:w="9619" w:type="dxa"/>
        <w:tblInd w:w="-100" w:type="dxa"/>
        <w:tblLayout w:type="fixed"/>
        <w:tblCellMar>
          <w:top w:w="15" w:type="dxa"/>
          <w:left w:w="15" w:type="dxa"/>
          <w:bottom w:w="15" w:type="dxa"/>
          <w:right w:w="15" w:type="dxa"/>
        </w:tblCellMar>
      </w:tblPr>
      <w:tblGrid>
        <w:gridCol w:w="400"/>
        <w:gridCol w:w="9219"/>
      </w:tblGrid>
      <w:tr>
        <w:tblPrEx>
          <w:tblCellMar>
            <w:top w:w="15" w:type="dxa"/>
            <w:left w:w="15" w:type="dxa"/>
            <w:bottom w:w="15" w:type="dxa"/>
            <w:right w:w="15" w:type="dxa"/>
          </w:tblCellMar>
        </w:tblPrEx>
        <w:trPr>
          <w:trHeight w:val="124" w:hRule="atLeast"/>
        </w:trPr>
        <w:tc>
          <w:tcPr>
            <w:gridSpan w:val="2"/>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Інші документи від Учасника:</w:t>
            </w:r>
          </w:p>
        </w:tc>
      </w:tr>
      <w:tr>
        <w:tblPrEx>
          <w:tblCellMar>
            <w:top w:w="15" w:type="dxa"/>
            <w:left w:w="15" w:type="dxa"/>
            <w:bottom w:w="15" w:type="dxa"/>
            <w:right w:w="15" w:type="dxa"/>
          </w:tblCellMar>
        </w:tblPrEx>
        <w:trPr>
          <w:trHeight w:val="807"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1</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both"/>
              <w:rPr>
                <w:rFonts w:ascii="Times New Roman" w:hAnsi="Times New Roman" w:eastAsia="Times New Roman" w:cs="Times New Roman"/>
                <w:sz w:val="20"/>
                <w:szCs w:val="20"/>
                <w:highlight w:val="none"/>
              </w:rPr>
            </w:pPr>
            <w:r>
              <w:rPr>
                <w:rFonts w:ascii="Times New Roman" w:hAnsi="Times New Roman" w:eastAsia="Times New Roman" w:cs="Times New Roman"/>
                <w:color w:val="000000"/>
                <w:sz w:val="20"/>
                <w:szCs w:val="20"/>
                <w:highlight w:val="none"/>
                <w:rtl w:val="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eastAsia="Times New Roman" w:cs="Times New Roman"/>
                <w:sz w:val="20"/>
                <w:szCs w:val="20"/>
                <w:highlight w:val="none"/>
                <w:rtl w:val="0"/>
              </w:rPr>
              <w:t xml:space="preserve">— </w:t>
            </w:r>
            <w:r>
              <w:rPr>
                <w:rFonts w:ascii="Times New Roman" w:hAnsi="Times New Roman" w:eastAsia="Times New Roman" w:cs="Times New Roman"/>
                <w:color w:val="000000"/>
                <w:sz w:val="20"/>
                <w:szCs w:val="20"/>
                <w:highlight w:val="none"/>
                <w:rtl w:val="0"/>
              </w:rPr>
              <w:t>підприємців та громадських формувань, а іншою особою, учасник надає довіреність або доручення на таку особу.</w:t>
            </w:r>
          </w:p>
        </w:tc>
      </w:tr>
      <w:tr>
        <w:tblPrEx>
          <w:tblCellMar>
            <w:top w:w="15" w:type="dxa"/>
            <w:left w:w="15" w:type="dxa"/>
            <w:bottom w:w="15" w:type="dxa"/>
            <w:right w:w="15" w:type="dxa"/>
          </w:tblCellMar>
        </w:tblPrEx>
        <w:trPr>
          <w:trHeight w:val="580"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240" w:after="0" w:line="240" w:lineRule="auto"/>
              <w:ind w:left="100" w:firstLine="0"/>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2</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ight="120" w:hanging="20"/>
              <w:jc w:val="both"/>
              <w:rPr>
                <w:rFonts w:ascii="Times New Roman" w:hAnsi="Times New Roman" w:eastAsia="Times New Roman" w:cs="Times New Roman"/>
                <w:i/>
                <w:color w:val="000000"/>
                <w:sz w:val="20"/>
                <w:szCs w:val="20"/>
                <w:highlight w:val="none"/>
              </w:rPr>
            </w:pPr>
            <w:r>
              <w:rPr>
                <w:rFonts w:ascii="Times New Roman" w:hAnsi="Times New Roman" w:eastAsia="Times New Roman" w:cs="Times New Roman"/>
                <w:b/>
                <w:color w:val="000000"/>
                <w:sz w:val="20"/>
                <w:szCs w:val="20"/>
                <w:highlight w:val="none"/>
                <w:rtl w:val="0"/>
              </w:rPr>
              <w:t xml:space="preserve">Достовірна інформація у вигляді довідки довільної форми, </w:t>
            </w:r>
            <w:r>
              <w:rPr>
                <w:rFonts w:ascii="Times New Roman" w:hAnsi="Times New Roman" w:eastAsia="Times New Roman" w:cs="Times New Roman"/>
                <w:sz w:val="20"/>
                <w:szCs w:val="20"/>
                <w:highlight w:val="none"/>
                <w:rtl w:val="0"/>
              </w:rPr>
              <w:t>у</w:t>
            </w:r>
            <w:r>
              <w:rPr>
                <w:rFonts w:ascii="Times New Roman" w:hAnsi="Times New Roman" w:eastAsia="Times New Roman" w:cs="Times New Roman"/>
                <w:color w:val="000000"/>
                <w:sz w:val="20"/>
                <w:szCs w:val="20"/>
                <w:highlight w:val="none"/>
                <w:rtl w:val="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eastAsia="Times New Roman" w:cs="Times New Roman"/>
                <w:i/>
                <w:color w:val="000000"/>
                <w:sz w:val="20"/>
                <w:szCs w:val="20"/>
                <w:highlight w:val="none"/>
                <w:rtl w:val="0"/>
              </w:rPr>
              <w:t xml:space="preserve">Замість довідки довільної форми учасник може надати чинну ліцензію або документ дозвільного характеру. </w:t>
            </w:r>
          </w:p>
          <w:p>
            <w:pPr>
              <w:spacing w:after="0" w:line="240" w:lineRule="auto"/>
              <w:ind w:left="100" w:right="120" w:hanging="20"/>
              <w:jc w:val="both"/>
              <w:rPr>
                <w:rFonts w:ascii="Times New Roman" w:hAnsi="Times New Roman" w:eastAsia="Times New Roman" w:cs="Times New Roman"/>
                <w:sz w:val="20"/>
                <w:szCs w:val="20"/>
                <w:highlight w:val="none"/>
              </w:rPr>
            </w:pPr>
            <w:r>
              <w:rPr>
                <w:rFonts w:ascii="Times New Roman" w:hAnsi="Times New Roman" w:eastAsia="Times New Roman" w:cs="Times New Roman"/>
                <w:i/>
                <w:color w:val="000000"/>
                <w:sz w:val="20"/>
                <w:szCs w:val="20"/>
                <w:highlight w:val="none"/>
                <w:rtl w:val="0"/>
              </w:rPr>
              <w:t>(Надається лише у разі, якщо отримання дозволу або ліцензії на провадження такого виду господарської  діяльності передбачено законом).</w:t>
            </w:r>
          </w:p>
        </w:tc>
      </w:tr>
      <w:tr>
        <w:tblPrEx>
          <w:tblCellMar>
            <w:top w:w="15" w:type="dxa"/>
            <w:left w:w="15" w:type="dxa"/>
            <w:bottom w:w="15" w:type="dxa"/>
            <w:right w:w="15" w:type="dxa"/>
          </w:tblCellMar>
        </w:tblPrEx>
        <w:trPr>
          <w:trHeight w:val="580"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240" w:after="0" w:line="240" w:lineRule="auto"/>
              <w:ind w:left="100" w:firstLine="0"/>
              <w:rPr>
                <w:rFonts w:hint="default" w:ascii="Times New Roman" w:hAnsi="Times New Roman" w:eastAsia="Times New Roman" w:cs="Times New Roman"/>
                <w:b/>
                <w:color w:val="000000"/>
                <w:sz w:val="20"/>
                <w:szCs w:val="20"/>
                <w:lang w:val="uk-UA"/>
              </w:rPr>
            </w:pPr>
            <w:r>
              <w:rPr>
                <w:rFonts w:hint="default" w:ascii="Times New Roman" w:hAnsi="Times New Roman" w:eastAsia="Times New Roman" w:cs="Times New Roman"/>
                <w:b/>
                <w:color w:val="000000"/>
                <w:sz w:val="20"/>
                <w:szCs w:val="20"/>
                <w:lang w:val="uk-UA"/>
              </w:rPr>
              <w:t>3</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0" w:after="0" w:line="240" w:lineRule="auto"/>
              <w:ind w:left="0" w:firstLine="0"/>
              <w:jc w:val="both"/>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tl w:val="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rFonts w:ascii="Times New Roman" w:hAnsi="Times New Roman" w:eastAsia="Times New Roman" w:cs="Times New Roman"/>
                <w:color w:val="auto"/>
                <w:sz w:val="20"/>
                <w:szCs w:val="20"/>
                <w:highlight w:val="white"/>
                <w:rtl w:val="0"/>
              </w:rPr>
              <w:t xml:space="preserve">Ісламської Республіки Іран </w:t>
            </w:r>
            <w:r>
              <w:rPr>
                <w:rFonts w:ascii="Times New Roman" w:hAnsi="Times New Roman" w:eastAsia="Times New Roman" w:cs="Times New Roman"/>
                <w:color w:val="auto"/>
                <w:sz w:val="20"/>
                <w:szCs w:val="20"/>
                <w:rtl w:val="0"/>
              </w:rPr>
              <w:t>та проживає на території України на законних підставах, учасник у складі тендерної пропозиції має надати стосовно таких осіб:</w:t>
            </w:r>
          </w:p>
          <w:p>
            <w:pPr>
              <w:spacing w:before="0" w:after="0" w:line="240" w:lineRule="auto"/>
              <w:ind w:left="0" w:firstLine="0"/>
              <w:jc w:val="both"/>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tl w:val="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color w:val="auto"/>
                <w:sz w:val="20"/>
                <w:szCs w:val="20"/>
                <w:rtl w:val="0"/>
              </w:rPr>
              <w:t xml:space="preserve"> </w:t>
            </w:r>
            <w:r>
              <w:rPr>
                <w:rFonts w:ascii="Times New Roman" w:hAnsi="Times New Roman" w:eastAsia="Times New Roman" w:cs="Times New Roman"/>
                <w:i/>
                <w:color w:val="auto"/>
                <w:sz w:val="20"/>
                <w:szCs w:val="20"/>
                <w:rtl w:val="0"/>
              </w:rPr>
              <w:t>або</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color w:val="auto"/>
                <w:sz w:val="20"/>
                <w:szCs w:val="20"/>
                <w:rtl w:val="0"/>
              </w:rPr>
              <w:t xml:space="preserve"> • посвідчення біженця чи документ, що підтверджує надання притулку в Україні,</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color w:val="auto"/>
                <w:sz w:val="20"/>
                <w:szCs w:val="20"/>
                <w:rtl w:val="0"/>
              </w:rPr>
              <w:t xml:space="preserve"> </w:t>
            </w:r>
            <w:r>
              <w:rPr>
                <w:rFonts w:ascii="Times New Roman" w:hAnsi="Times New Roman" w:eastAsia="Times New Roman" w:cs="Times New Roman"/>
                <w:i/>
                <w:color w:val="auto"/>
                <w:sz w:val="20"/>
                <w:szCs w:val="20"/>
                <w:rtl w:val="0"/>
              </w:rPr>
              <w:t>або</w:t>
            </w:r>
            <w:r>
              <w:rPr>
                <w:rFonts w:ascii="Times New Roman" w:hAnsi="Times New Roman" w:eastAsia="Times New Roman" w:cs="Times New Roman"/>
                <w:i/>
                <w:color w:val="auto"/>
                <w:sz w:val="20"/>
                <w:szCs w:val="20"/>
                <w:rtl w:val="0"/>
              </w:rPr>
              <w:br w:type="textWrapping"/>
            </w:r>
            <w:r>
              <w:rPr>
                <w:rFonts w:ascii="Times New Roman" w:hAnsi="Times New Roman" w:eastAsia="Times New Roman" w:cs="Times New Roman"/>
                <w:color w:val="auto"/>
                <w:sz w:val="20"/>
                <w:szCs w:val="20"/>
                <w:rtl w:val="0"/>
              </w:rPr>
              <w:t xml:space="preserve"> • посвідчення особи, яка потребує додаткового захисту в Україні,</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i/>
                <w:color w:val="auto"/>
                <w:sz w:val="20"/>
                <w:szCs w:val="20"/>
                <w:rtl w:val="0"/>
              </w:rPr>
              <w:t xml:space="preserve"> або</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color w:val="auto"/>
                <w:sz w:val="20"/>
                <w:szCs w:val="20"/>
                <w:rtl w:val="0"/>
              </w:rPr>
              <w:t xml:space="preserve"> •    посвідчення особи, якій надано тимчасовий захист в Україні,</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i/>
                <w:color w:val="auto"/>
                <w:sz w:val="20"/>
                <w:szCs w:val="20"/>
                <w:rtl w:val="0"/>
              </w:rPr>
              <w:t xml:space="preserve"> або</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color w:val="auto"/>
                <w:sz w:val="20"/>
                <w:szCs w:val="20"/>
                <w:rtl w:val="0"/>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color w:val="auto"/>
                <w:sz w:val="20"/>
                <w:szCs w:val="20"/>
                <w:rtl w:val="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color w:val="auto"/>
                <w:sz w:val="20"/>
                <w:szCs w:val="20"/>
                <w:rtl w:val="0"/>
              </w:rPr>
              <w:t xml:space="preserve"> • Ухвалу слідчого судді, суду, щодо арешту активів,</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i/>
                <w:color w:val="auto"/>
                <w:sz w:val="20"/>
                <w:szCs w:val="20"/>
                <w:rtl w:val="0"/>
              </w:rPr>
              <w:t xml:space="preserve"> або</w:t>
            </w:r>
            <w:r>
              <w:rPr>
                <w:rFonts w:ascii="Times New Roman" w:hAnsi="Times New Roman" w:eastAsia="Times New Roman" w:cs="Times New Roman"/>
                <w:i/>
                <w:color w:val="auto"/>
                <w:sz w:val="20"/>
                <w:szCs w:val="20"/>
                <w:rtl w:val="0"/>
              </w:rPr>
              <w:br w:type="textWrapping"/>
            </w:r>
            <w:r>
              <w:rPr>
                <w:rFonts w:ascii="Times New Roman" w:hAnsi="Times New Roman" w:eastAsia="Times New Roman" w:cs="Times New Roman"/>
                <w:color w:val="auto"/>
                <w:sz w:val="20"/>
                <w:szCs w:val="20"/>
                <w:rtl w:val="0"/>
              </w:rPr>
              <w:t xml:space="preserve"> • Нотаріально засвідчену копію згоди власника, щодо управління активами,</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color w:val="auto"/>
                <w:sz w:val="20"/>
                <w:szCs w:val="20"/>
                <w:rtl w:val="0"/>
              </w:rPr>
              <w:t xml:space="preserve"> а також:</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color w:val="auto"/>
                <w:sz w:val="20"/>
                <w:szCs w:val="20"/>
                <w:rtl w:val="0"/>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hAnsi="Times New Roman" w:eastAsia="Times New Roman" w:cs="Times New Roman"/>
                <w:color w:val="auto"/>
                <w:sz w:val="20"/>
                <w:szCs w:val="20"/>
                <w:rtl w:val="0"/>
              </w:rPr>
              <w:br w:type="textWrapping"/>
            </w:r>
            <w:r>
              <w:rPr>
                <w:rFonts w:ascii="Times New Roman" w:hAnsi="Times New Roman" w:eastAsia="Times New Roman" w:cs="Times New Roman"/>
                <w:color w:val="auto"/>
                <w:sz w:val="20"/>
                <w:szCs w:val="20"/>
                <w:rtl w:val="0"/>
              </w:rPr>
              <w:t xml:space="preserve"> </w:t>
            </w:r>
            <w:r>
              <w:rPr>
                <w:rFonts w:ascii="Times New Roman" w:hAnsi="Times New Roman" w:eastAsia="Times New Roman" w:cs="Times New Roman"/>
                <w:i/>
                <w:color w:val="auto"/>
                <w:sz w:val="20"/>
                <w:szCs w:val="20"/>
                <w:rtl w:val="0"/>
              </w:rPr>
              <w:t>або</w:t>
            </w:r>
            <w:r>
              <w:rPr>
                <w:rFonts w:ascii="Times New Roman" w:hAnsi="Times New Roman" w:eastAsia="Times New Roman" w:cs="Times New Roman"/>
                <w:i/>
                <w:color w:val="auto"/>
                <w:sz w:val="20"/>
                <w:szCs w:val="20"/>
                <w:rtl w:val="0"/>
              </w:rPr>
              <w:br w:type="textWrapping"/>
            </w:r>
            <w:r>
              <w:rPr>
                <w:rFonts w:ascii="Times New Roman" w:hAnsi="Times New Roman" w:eastAsia="Times New Roman" w:cs="Times New Roman"/>
                <w:color w:val="auto"/>
                <w:sz w:val="20"/>
                <w:szCs w:val="20"/>
                <w:rtl w:val="0"/>
              </w:rPr>
              <w:t xml:space="preserve"> • рішення Кабінету Міністрів України, щодо управління активами, на які накладено арешт у кримінальному провадженні.</w:t>
            </w:r>
          </w:p>
        </w:tc>
      </w:tr>
    </w:tbl>
    <w:p>
      <w:pPr>
        <w:spacing w:after="0" w:line="240" w:lineRule="auto"/>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0"/>
          <w:szCs w:val="20"/>
        </w:rPr>
      </w:pPr>
      <w:bookmarkStart w:id="0" w:name="_heading=h.gjdgxs" w:colFirst="0" w:colLast="0"/>
      <w:bookmarkEnd w:id="0"/>
    </w:p>
    <w:sectPr>
      <w:pgSz w:w="11906" w:h="16838"/>
      <w:pgMar w:top="850" w:right="850" w:bottom="850" w:left="1417"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Antiqu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B654F3"/>
    <w:multiLevelType w:val="multilevel"/>
    <w:tmpl w:val="25B654F3"/>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
  <w:rsids>
    <w:rsidRoot w:val="00000000"/>
    <w:rsid w:val="0ABC7E7F"/>
    <w:rsid w:val="255F18D0"/>
    <w:rsid w:val="2E282DA4"/>
    <w:rsid w:val="5E823AE8"/>
    <w:rsid w:val="72AA16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ru-RU"/>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semiHidden/>
    <w:unhideWhenUsed/>
    <w:qFormat/>
    <w:uiPriority w:val="99"/>
    <w:rPr>
      <w:color w:val="0000FF"/>
      <w:u w:val="single"/>
    </w:rPr>
  </w:style>
  <w:style w:type="paragraph" w:styleId="11">
    <w:name w:val="Title"/>
    <w:basedOn w:val="1"/>
    <w:next w:val="1"/>
    <w:qFormat/>
    <w:uiPriority w:val="10"/>
    <w:pPr>
      <w:keepNext/>
      <w:keepLines/>
      <w:spacing w:before="480" w:after="120"/>
    </w:pPr>
    <w:rPr>
      <w:b/>
      <w:sz w:val="72"/>
      <w:szCs w:val="72"/>
    </w:rPr>
  </w:style>
  <w:style w:type="paragraph" w:styleId="1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3">
    <w:name w:val="Subtitle"/>
    <w:basedOn w:val="1"/>
    <w:next w:val="1"/>
    <w:qFormat/>
    <w:uiPriority w:val="0"/>
    <w:pPr>
      <w:keepNext/>
      <w:keepLines/>
      <w:spacing w:before="360" w:after="80"/>
    </w:pPr>
    <w:rPr>
      <w:rFonts w:ascii="Georgia" w:hAnsi="Georgia" w:eastAsia="Georgia" w:cs="Georgia"/>
      <w:i/>
      <w:color w:val="666666"/>
      <w:sz w:val="48"/>
      <w:szCs w:val="48"/>
    </w:rPr>
  </w:style>
  <w:style w:type="table" w:customStyle="1" w:styleId="14">
    <w:name w:val="Table Normal"/>
    <w:qFormat/>
    <w:uiPriority w:val="0"/>
    <w:tblPr>
      <w:tblCellMar>
        <w:top w:w="0" w:type="dxa"/>
        <w:left w:w="0" w:type="dxa"/>
        <w:bottom w:w="0" w:type="dxa"/>
        <w:right w:w="0" w:type="dxa"/>
      </w:tblCellMar>
    </w:tblPr>
  </w:style>
  <w:style w:type="character" w:customStyle="1" w:styleId="15">
    <w:name w:val="apple-tab-span"/>
    <w:basedOn w:val="8"/>
    <w:qFormat/>
    <w:uiPriority w:val="0"/>
  </w:style>
  <w:style w:type="paragraph" w:styleId="16">
    <w:name w:val="List Paragraph"/>
    <w:basedOn w:val="1"/>
    <w:qFormat/>
    <w:uiPriority w:val="34"/>
    <w:pPr>
      <w:ind w:left="720"/>
      <w:contextualSpacing/>
    </w:pPr>
  </w:style>
  <w:style w:type="table" w:customStyle="1" w:styleId="17">
    <w:name w:val="_Style 26"/>
    <w:basedOn w:val="14"/>
    <w:qFormat/>
    <w:uiPriority w:val="0"/>
    <w:tblPr>
      <w:tblCellMar>
        <w:top w:w="15" w:type="dxa"/>
        <w:left w:w="15" w:type="dxa"/>
        <w:bottom w:w="15" w:type="dxa"/>
        <w:right w:w="15" w:type="dxa"/>
      </w:tblCellMar>
    </w:tblPr>
  </w:style>
  <w:style w:type="table" w:customStyle="1" w:styleId="18">
    <w:name w:val="_Style 27"/>
    <w:basedOn w:val="14"/>
    <w:qFormat/>
    <w:uiPriority w:val="0"/>
    <w:tblPr>
      <w:tblCellMar>
        <w:top w:w="15" w:type="dxa"/>
        <w:left w:w="15" w:type="dxa"/>
        <w:bottom w:w="15" w:type="dxa"/>
        <w:right w:w="15" w:type="dxa"/>
      </w:tblCellMar>
    </w:tblPr>
  </w:style>
  <w:style w:type="table" w:customStyle="1" w:styleId="19">
    <w:name w:val="_Style 28"/>
    <w:basedOn w:val="14"/>
    <w:qFormat/>
    <w:uiPriority w:val="0"/>
    <w:tblPr>
      <w:tblCellMar>
        <w:top w:w="15" w:type="dxa"/>
        <w:left w:w="15" w:type="dxa"/>
        <w:bottom w:w="15" w:type="dxa"/>
        <w:right w:w="15" w:type="dxa"/>
      </w:tblCellMar>
    </w:tblPr>
  </w:style>
  <w:style w:type="table" w:customStyle="1" w:styleId="20">
    <w:name w:val="_Style 29"/>
    <w:basedOn w:val="14"/>
    <w:qFormat/>
    <w:uiPriority w:val="0"/>
    <w:tblPr>
      <w:tblCellMar>
        <w:top w:w="15" w:type="dxa"/>
        <w:left w:w="15" w:type="dxa"/>
        <w:bottom w:w="15" w:type="dxa"/>
        <w:right w:w="15" w:type="dxa"/>
      </w:tblCellMar>
    </w:tblPr>
  </w:style>
  <w:style w:type="table" w:customStyle="1" w:styleId="21">
    <w:name w:val="_Style 30"/>
    <w:basedOn w:val="14"/>
    <w:qFormat/>
    <w:uiPriority w:val="0"/>
    <w:tblPr>
      <w:tblCellMar>
        <w:top w:w="15" w:type="dxa"/>
        <w:left w:w="15" w:type="dxa"/>
        <w:bottom w:w="15" w:type="dxa"/>
        <w:right w:w="15" w:type="dxa"/>
      </w:tblCellMar>
    </w:tblPr>
  </w:style>
  <w:style w:type="table" w:customStyle="1" w:styleId="22">
    <w:name w:val="_Style 31"/>
    <w:basedOn w:val="14"/>
    <w:qFormat/>
    <w:uiPriority w:val="0"/>
    <w:tblPr>
      <w:tblCellMar>
        <w:top w:w="15" w:type="dxa"/>
        <w:left w:w="15" w:type="dxa"/>
        <w:bottom w:w="15" w:type="dxa"/>
        <w:right w:w="15" w:type="dxa"/>
      </w:tblCellMar>
    </w:tblPr>
  </w:style>
  <w:style w:type="table" w:customStyle="1" w:styleId="23">
    <w:name w:val="_Style 32"/>
    <w:basedOn w:val="14"/>
    <w:qFormat/>
    <w:uiPriority w:val="0"/>
    <w:tblPr>
      <w:tblCellMar>
        <w:top w:w="15" w:type="dxa"/>
        <w:left w:w="15" w:type="dxa"/>
        <w:bottom w:w="15" w:type="dxa"/>
        <w:right w:w="15" w:type="dxa"/>
      </w:tblCellMar>
    </w:tblPr>
  </w:style>
  <w:style w:type="paragraph" w:customStyle="1" w:styleId="24">
    <w:name w:val="Нормальний текст"/>
    <w:basedOn w:val="1"/>
    <w:qFormat/>
    <w:uiPriority w:val="0"/>
    <w:pPr>
      <w:spacing w:before="120" w:after="0" w:line="240" w:lineRule="auto"/>
      <w:ind w:firstLine="567"/>
    </w:pPr>
    <w:rPr>
      <w:rFonts w:ascii="Antiqua" w:hAnsi="Antiqua" w:eastAsia="Times New Roman" w:cs="Times New Roman"/>
      <w:sz w:val="26"/>
      <w:szCs w:val="20"/>
      <w:lang w:val="uk-UA"/>
    </w:rPr>
  </w:style>
  <w:style w:type="paragraph" w:customStyle="1" w:styleId="25">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6">
    <w:name w:val="_Style 35"/>
    <w:basedOn w:val="14"/>
    <w:qFormat/>
    <w:uiPriority w:val="0"/>
    <w:tblPr>
      <w:tblCellMar>
        <w:top w:w="15" w:type="dxa"/>
        <w:left w:w="15" w:type="dxa"/>
        <w:bottom w:w="15" w:type="dxa"/>
        <w:right w:w="15" w:type="dxa"/>
      </w:tblCellMar>
    </w:tblPr>
  </w:style>
  <w:style w:type="table" w:customStyle="1" w:styleId="27">
    <w:name w:val="_Style 36"/>
    <w:basedOn w:val="14"/>
    <w:qFormat/>
    <w:uiPriority w:val="0"/>
    <w:tblPr>
      <w:tblCellMar>
        <w:top w:w="15" w:type="dxa"/>
        <w:left w:w="15" w:type="dxa"/>
        <w:bottom w:w="15" w:type="dxa"/>
        <w:right w:w="15" w:type="dxa"/>
      </w:tblCellMar>
    </w:tblPr>
  </w:style>
  <w:style w:type="table" w:customStyle="1" w:styleId="28">
    <w:name w:val="_Style 37"/>
    <w:basedOn w:val="14"/>
    <w:qFormat/>
    <w:uiPriority w:val="0"/>
    <w:tblPr>
      <w:tblCellMar>
        <w:top w:w="15" w:type="dxa"/>
        <w:left w:w="15" w:type="dxa"/>
        <w:bottom w:w="15" w:type="dxa"/>
        <w:right w:w="15" w:type="dxa"/>
      </w:tblCellMar>
    </w:tblPr>
  </w:style>
  <w:style w:type="table" w:customStyle="1" w:styleId="29">
    <w:name w:val="_Style 38"/>
    <w:basedOn w:val="14"/>
    <w:qFormat/>
    <w:uiPriority w:val="0"/>
    <w:tblPr>
      <w:tblCellMar>
        <w:top w:w="15" w:type="dxa"/>
        <w:left w:w="15" w:type="dxa"/>
        <w:bottom w:w="15" w:type="dxa"/>
        <w:right w:w="15" w:type="dxa"/>
      </w:tblCellMar>
    </w:tblPr>
  </w:style>
  <w:style w:type="table" w:customStyle="1" w:styleId="30">
    <w:name w:val="_Style 39"/>
    <w:basedOn w:val="14"/>
    <w:qFormat/>
    <w:uiPriority w:val="0"/>
    <w:tblPr>
      <w:tblCellMar>
        <w:top w:w="15" w:type="dxa"/>
        <w:left w:w="15" w:type="dxa"/>
        <w:bottom w:w="15" w:type="dxa"/>
        <w:right w:w="15" w:type="dxa"/>
      </w:tblCellMar>
    </w:tblPr>
  </w:style>
  <w:style w:type="table" w:customStyle="1" w:styleId="31">
    <w:name w:val="_Style 41"/>
    <w:basedOn w:val="14"/>
    <w:qFormat/>
    <w:uiPriority w:val="0"/>
    <w:tblPr>
      <w:tblCellMar>
        <w:top w:w="15" w:type="dxa"/>
        <w:left w:w="15" w:type="dxa"/>
        <w:bottom w:w="15" w:type="dxa"/>
        <w:right w:w="15" w:type="dxa"/>
      </w:tblCellMar>
    </w:tblPr>
  </w:style>
  <w:style w:type="table" w:customStyle="1" w:styleId="32">
    <w:name w:val="_Style 42"/>
    <w:basedOn w:val="14"/>
    <w:qFormat/>
    <w:uiPriority w:val="0"/>
    <w:tblPr>
      <w:tblCellMar>
        <w:top w:w="15" w:type="dxa"/>
        <w:left w:w="15" w:type="dxa"/>
        <w:bottom w:w="15" w:type="dxa"/>
        <w:right w:w="15" w:type="dxa"/>
      </w:tblCellMar>
    </w:tblPr>
  </w:style>
  <w:style w:type="table" w:customStyle="1" w:styleId="33">
    <w:name w:val="_Style 43"/>
    <w:basedOn w:val="14"/>
    <w:qFormat/>
    <w:uiPriority w:val="0"/>
    <w:tblPr>
      <w:tblCellMar>
        <w:top w:w="15" w:type="dxa"/>
        <w:left w:w="15" w:type="dxa"/>
        <w:bottom w:w="15" w:type="dxa"/>
        <w:right w:w="15" w:type="dxa"/>
      </w:tblCellMar>
    </w:tblPr>
  </w:style>
  <w:style w:type="table" w:customStyle="1" w:styleId="34">
    <w:name w:val="_Style 44"/>
    <w:basedOn w:val="14"/>
    <w:qFormat/>
    <w:uiPriority w:val="0"/>
    <w:tblPr>
      <w:tblCellMar>
        <w:top w:w="15" w:type="dxa"/>
        <w:left w:w="15" w:type="dxa"/>
        <w:bottom w:w="15" w:type="dxa"/>
        <w:right w:w="15" w:type="dxa"/>
      </w:tblCellMar>
    </w:tblPr>
  </w:style>
  <w:style w:type="table" w:customStyle="1" w:styleId="35">
    <w:name w:val="_Style 45"/>
    <w:basedOn w:val="14"/>
    <w:qFormat/>
    <w:uiPriority w:val="0"/>
    <w:tblPr>
      <w:tblCellMar>
        <w:top w:w="15" w:type="dxa"/>
        <w:left w:w="15" w:type="dxa"/>
        <w:bottom w:w="15" w:type="dxa"/>
        <w:right w:w="15" w:type="dxa"/>
      </w:tblCellMar>
    </w:tblPr>
  </w:style>
  <w:style w:type="table" w:customStyle="1" w:styleId="36">
    <w:name w:val="_Style 46"/>
    <w:basedOn w:val="14"/>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34</TotalTime>
  <ScaleCrop>false</ScaleCrop>
  <LinksUpToDate>false</LinksUpToDate>
  <Application>WPS Office_12.2.0.13489_F1E327BC-269C-435d-A152-05C5408002CA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creator>Кристина Белякова</dc:creator>
  <cp:lastModifiedBy>Оксана Павлюк</cp:lastModifiedBy>
  <dcterms:modified xsi:type="dcterms:W3CDTF">2024-03-20T11:30:50Z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71FD2261FCEE4FD4BA8752C63BC6C72D_12</vt:lpwstr>
  </property>
</Properties>
</file>