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66" w:rsidRPr="00366D66" w:rsidRDefault="00366D66" w:rsidP="00366D6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6D66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366D66" w:rsidRPr="00366D66" w:rsidRDefault="00366D66" w:rsidP="00366D6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6D66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66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6D66" w:rsidRPr="00A50576" w:rsidRDefault="00366D66" w:rsidP="00366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576">
        <w:rPr>
          <w:rFonts w:ascii="Times New Roman" w:hAnsi="Times New Roman"/>
          <w:b/>
          <w:bCs/>
          <w:sz w:val="24"/>
          <w:szCs w:val="24"/>
        </w:rPr>
        <w:t>Інформація про необхідні  якісні та кількісні характеристики предмета закупівлі</w:t>
      </w:r>
    </w:p>
    <w:p w:rsidR="00366D66" w:rsidRPr="00A50576" w:rsidRDefault="00366D66" w:rsidP="00366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D66" w:rsidRPr="00A50576" w:rsidRDefault="00366D66" w:rsidP="00366D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576">
        <w:rPr>
          <w:rFonts w:ascii="Times New Roman" w:hAnsi="Times New Roman"/>
          <w:b/>
          <w:sz w:val="24"/>
          <w:szCs w:val="24"/>
        </w:rPr>
        <w:t>«Робоча станція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особи», 30210000-4 Машини для обробки даних (апаратна частина) за ДК 021:2015 Єдиного закупівельного словника</w:t>
      </w:r>
    </w:p>
    <w:p w:rsidR="00366D66" w:rsidRPr="00A50576" w:rsidRDefault="00366D66" w:rsidP="00366D66">
      <w:pPr>
        <w:widowControl w:val="0"/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576">
        <w:rPr>
          <w:rFonts w:ascii="Times New Roman" w:hAnsi="Times New Roman"/>
          <w:b/>
          <w:bCs/>
          <w:sz w:val="24"/>
          <w:szCs w:val="24"/>
        </w:rPr>
        <w:t xml:space="preserve">Вимоги </w:t>
      </w:r>
    </w:p>
    <w:p w:rsidR="00366D66" w:rsidRPr="00A50576" w:rsidRDefault="00366D66" w:rsidP="0036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76">
        <w:rPr>
          <w:rFonts w:ascii="Times New Roman" w:hAnsi="Times New Roman"/>
          <w:bCs/>
          <w:sz w:val="24"/>
          <w:szCs w:val="24"/>
        </w:rPr>
        <w:t xml:space="preserve"> (технічні, якісні та кількісні характеристики </w:t>
      </w:r>
    </w:p>
    <w:p w:rsidR="00366D66" w:rsidRPr="00A50576" w:rsidRDefault="00366D66" w:rsidP="0036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(технічна специфікація</w:t>
      </w:r>
      <w:r w:rsidRPr="00A50576">
        <w:rPr>
          <w:rFonts w:ascii="Times New Roman" w:hAnsi="Times New Roman"/>
          <w:bCs/>
          <w:sz w:val="24"/>
          <w:szCs w:val="24"/>
        </w:rPr>
        <w:t>))</w:t>
      </w:r>
    </w:p>
    <w:p w:rsidR="00366D66" w:rsidRPr="00A50576" w:rsidRDefault="00366D66" w:rsidP="00366D66">
      <w:pPr>
        <w:spacing w:before="24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50576">
        <w:rPr>
          <w:rFonts w:ascii="Times New Roman" w:hAnsi="Times New Roman"/>
          <w:bCs/>
          <w:sz w:val="24"/>
          <w:szCs w:val="24"/>
        </w:rPr>
        <w:t xml:space="preserve">Ця технічна специфікація містить основні вимоги до обладнання робочої станції для оформлення та видачі документів, що підтверджують громадянство України, посвідчують особу чи її спеціальний статус </w:t>
      </w:r>
      <w:r w:rsidRPr="00A50576">
        <w:rPr>
          <w:rFonts w:ascii="Times New Roman" w:hAnsi="Times New Roman"/>
          <w:bCs/>
          <w:i/>
          <w:sz w:val="24"/>
          <w:szCs w:val="24"/>
        </w:rPr>
        <w:t xml:space="preserve">(далі – </w:t>
      </w:r>
      <w:r w:rsidRPr="00A50576">
        <w:rPr>
          <w:rFonts w:ascii="Times New Roman" w:hAnsi="Times New Roman"/>
          <w:b/>
          <w:bCs/>
          <w:i/>
          <w:sz w:val="24"/>
          <w:szCs w:val="24"/>
        </w:rPr>
        <w:t>паспортні документи</w:t>
      </w:r>
      <w:r w:rsidRPr="00A50576">
        <w:rPr>
          <w:rFonts w:ascii="Times New Roman" w:hAnsi="Times New Roman"/>
          <w:bCs/>
          <w:i/>
          <w:sz w:val="24"/>
          <w:szCs w:val="24"/>
        </w:rPr>
        <w:t>)</w:t>
      </w:r>
      <w:r w:rsidRPr="00A50576">
        <w:rPr>
          <w:rFonts w:ascii="Times New Roman" w:hAnsi="Times New Roman"/>
          <w:bCs/>
          <w:sz w:val="24"/>
          <w:szCs w:val="24"/>
        </w:rPr>
        <w:t>, взяття біометричних даних (параметрів) особи, реєстрації/зняття з реєстрації місць проживання/перебування громадян України, іноземців та осіб без громадянства</w:t>
      </w:r>
      <w:r w:rsidRPr="00A5057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50576">
        <w:rPr>
          <w:rFonts w:ascii="Times New Roman" w:hAnsi="Times New Roman"/>
          <w:bCs/>
          <w:i/>
          <w:sz w:val="24"/>
          <w:szCs w:val="24"/>
        </w:rPr>
        <w:t xml:space="preserve">(далі – </w:t>
      </w:r>
      <w:r w:rsidRPr="00A50576">
        <w:rPr>
          <w:rFonts w:ascii="Times New Roman" w:hAnsi="Times New Roman"/>
          <w:b/>
          <w:bCs/>
          <w:i/>
          <w:sz w:val="24"/>
          <w:szCs w:val="24"/>
        </w:rPr>
        <w:t>РС</w:t>
      </w:r>
      <w:r w:rsidRPr="00A50576">
        <w:rPr>
          <w:rFonts w:ascii="Times New Roman" w:hAnsi="Times New Roman"/>
          <w:bCs/>
          <w:i/>
          <w:sz w:val="24"/>
          <w:szCs w:val="24"/>
        </w:rPr>
        <w:t>)</w:t>
      </w:r>
      <w:r w:rsidRPr="00A50576">
        <w:rPr>
          <w:rFonts w:ascii="Times New Roman" w:hAnsi="Times New Roman"/>
          <w:bCs/>
          <w:sz w:val="24"/>
          <w:szCs w:val="24"/>
        </w:rPr>
        <w:t>, вимоги до загального програмного забезпечення РС та захищеного носія інформації, що наведені в таблиці.</w:t>
      </w:r>
    </w:p>
    <w:p w:rsidR="00366D66" w:rsidRPr="00A50576" w:rsidRDefault="00366D66" w:rsidP="0036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1304" w:hanging="1304"/>
        <w:jc w:val="both"/>
        <w:rPr>
          <w:rFonts w:ascii="Times New Roman" w:hAnsi="Times New Roman"/>
          <w:b/>
          <w:bCs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 xml:space="preserve">Таблиця – </w:t>
      </w:r>
      <w:r w:rsidRPr="00A50576">
        <w:rPr>
          <w:rFonts w:ascii="Times New Roman" w:hAnsi="Times New Roman"/>
          <w:b/>
          <w:bCs/>
          <w:sz w:val="24"/>
          <w:szCs w:val="24"/>
        </w:rPr>
        <w:t xml:space="preserve">Технічні вимоги, специфікація </w:t>
      </w:r>
      <w:r w:rsidRPr="00A50576">
        <w:rPr>
          <w:rFonts w:ascii="Times New Roman" w:hAnsi="Times New Roman"/>
          <w:b/>
          <w:sz w:val="24"/>
          <w:szCs w:val="24"/>
        </w:rPr>
        <w:t>елементів РС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1"/>
        <w:gridCol w:w="6667"/>
      </w:tblGrid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Призначення РС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РС призначена для автоматизації діяльності посадових осіб для виконання державних функцій щодо надання послуг з оформлення та видачі паспортних документів, </w:t>
            </w:r>
            <w:r w:rsidRPr="00366D66">
              <w:rPr>
                <w:rFonts w:ascii="Times New Roman" w:hAnsi="Times New Roman"/>
                <w:bCs/>
                <w:sz w:val="24"/>
                <w:szCs w:val="24"/>
              </w:rPr>
              <w:t>взяття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біометричних даних (параметрів) особи, а також </w:t>
            </w:r>
            <w:r w:rsidRPr="00366D66">
              <w:rPr>
                <w:rFonts w:ascii="Times New Roman" w:hAnsi="Times New Roman"/>
                <w:bCs/>
                <w:sz w:val="24"/>
                <w:szCs w:val="24"/>
              </w:rPr>
              <w:t>реєстрації/зняття з реєстрації місць проживання/перебування громадян України, іноземців та осіб без громадянства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iCs/>
                <w:sz w:val="24"/>
                <w:szCs w:val="24"/>
              </w:rPr>
              <w:t xml:space="preserve">РС забезпечує роботу посадових осіб в інтерфейсі </w:t>
            </w:r>
            <w:proofErr w:type="spellStart"/>
            <w:r w:rsidRPr="00366D66">
              <w:rPr>
                <w:rFonts w:ascii="Times New Roman" w:hAnsi="Times New Roman"/>
                <w:iCs/>
                <w:sz w:val="24"/>
                <w:szCs w:val="24"/>
              </w:rPr>
              <w:t>web</w:t>
            </w:r>
            <w:proofErr w:type="spellEnd"/>
            <w:r w:rsidRPr="00366D66">
              <w:rPr>
                <w:rFonts w:ascii="Times New Roman" w:hAnsi="Times New Roman"/>
                <w:iCs/>
                <w:sz w:val="24"/>
                <w:szCs w:val="24"/>
              </w:rPr>
              <w:t xml:space="preserve">-сервісу під час виконання встановлених процедур та операцій з оформлення та видачі 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паспортних</w:t>
            </w:r>
            <w:r w:rsidRPr="00366D66">
              <w:rPr>
                <w:rFonts w:ascii="Times New Roman" w:hAnsi="Times New Roman"/>
                <w:iCs/>
                <w:sz w:val="24"/>
                <w:szCs w:val="24"/>
              </w:rPr>
              <w:t xml:space="preserve"> документів, у тому числі паспорта громадянина України для виїзду за кордон з безконтактним електронним носієм або паспорта громадянина України у формі картки </w:t>
            </w:r>
            <w:r w:rsidRPr="00366D66">
              <w:rPr>
                <w:rFonts w:ascii="Times New Roman" w:hAnsi="Times New Roman"/>
                <w:b/>
                <w:i/>
                <w:sz w:val="24"/>
                <w:szCs w:val="24"/>
              </w:rPr>
              <w:t>за умови встановлення відповідного спеціалізованого програмного забезпечення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Склад РС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РС представляє програмно-технічний комплекс на базі персонального комп'ютера з загальним та спеціалізованим програмним забезпеченням, комплектом обладнання (з відповідними технічними характеристиками) для </w:t>
            </w:r>
            <w:r w:rsidRPr="00366D66">
              <w:rPr>
                <w:rFonts w:ascii="Times New Roman" w:hAnsi="Times New Roman"/>
                <w:bCs/>
                <w:sz w:val="24"/>
                <w:szCs w:val="24"/>
              </w:rPr>
              <w:t>взяття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біометричних даних (параметрів) особи під час оформлення та видачі їй документів.</w:t>
            </w:r>
          </w:p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До складу РС входять апаратні та програмні компоненти.</w:t>
            </w:r>
          </w:p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Апаратні компоненти в вимогах до яких зазначена відповідна сумісність з SDK не мають містити позначку «або </w:t>
            </w: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>еквівалент» в зв’язку з функціональними потребами Спеціального програмного забезпечення.</w:t>
            </w:r>
          </w:p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Спеціалізоване програмне забезпечення</w:t>
            </w:r>
            <w:r w:rsidRPr="00366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як програмна компонента РС </w:t>
            </w:r>
            <w:r w:rsidRPr="00366D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 входить до складу предмета закупівлі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>Склад апаратних компонентів РС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До складу РС входять наступні апаратні компоненти: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персональний комп’ютер: материнська плата, процесор, оперативна пам'ять, жорсткий диск, відеоадаптер;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2 LЕD монітори (для оператора та клієнта);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клавіатура та маніпулятор типу "миша";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блок безперебійного живлення;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концентратор USB з подовжувачем USB;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цифрова фотокамера з об’єктивом та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фотоаксесуарами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зчитувач відбитків пальців;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планшет для підпису;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повносторінковий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зчитувач документів (OCR, RFID, MRZ) з модулем для ID-карт;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багатофункціональний пристрій А4 або окремі принтер та сканер з додатковими картриджами;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цифрова клавіатура для введення ПІН</w:t>
            </w:r>
            <w:r w:rsidRPr="00366D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noBreakHyphen/>
              <w:t>кодів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1,8 м, адаптований для підключення до блоку безперебійного живлення;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3,0 м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Вимоги до персонального комп’ютеру РС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Процесор: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кількість ядр не менше ніж 2. 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Частота процесору: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нижча ніж 2,9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ГГц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Чипсет материнської плати: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H310 або аналог.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Оперативна пам'ять: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гірша за DDR4-2400, 8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Гб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Жорсткий диск: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менше ніж 500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Гб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Графічний відеоадаптер: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з можливістю підключення 2 моніторів або аналог.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Корпус та блок живлення: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АТХ, потужність не менша ніж 400 Вт або аналоги.</w:t>
            </w:r>
          </w:p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Пристрої вводу-виводу: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повнорозмірна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клавіатура та миша з інтерфейсом USB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Вимоги до монітора PC оператора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Діагональ: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менша ніж 23,8".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Тип матриці: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гірший за IPS.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Час відгуку: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більше ніж 5 мс.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.):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178</w:t>
            </w:r>
            <w:r w:rsidRPr="00366D6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/178</w:t>
            </w:r>
            <w:r w:rsidRPr="00366D6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Інтерфейс: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D66">
              <w:rPr>
                <w:rFonts w:ascii="Times New Roman" w:hAnsi="Times New Roman"/>
                <w:sz w:val="24"/>
                <w:szCs w:val="24"/>
                <w:lang w:eastAsia="uk-UA"/>
              </w:rPr>
              <w:t>VGA та/або DVI та/або НDMI (з можливістю одночасного підключення з монітором клієнта до персонального комп’ютера).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Яскравість: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/м</w:t>
            </w:r>
            <w:r w:rsidRPr="00366D6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нижча ніж 600:1 / 5000 000:1.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більша ніж 25 Вт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>Вимоги до монітора PC клієнта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Діагональ: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менша ніж 21,5" (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Wide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16:9).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Тип матриці: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TN+film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Час відгуку: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більше ніж 5 мс.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.):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366D6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/65</w:t>
            </w:r>
            <w:r w:rsidRPr="00366D6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Інтерфейс: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D66">
              <w:rPr>
                <w:rFonts w:ascii="Times New Roman" w:hAnsi="Times New Roman"/>
                <w:sz w:val="24"/>
                <w:szCs w:val="24"/>
                <w:lang w:eastAsia="uk-UA"/>
              </w:rPr>
              <w:t>VGA та/або DVI та/або НDMI (з можливістю одночасного підключення з монітором оператора до персонального комп’ютера).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Яскравість: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/м</w:t>
            </w:r>
            <w:r w:rsidRPr="00366D6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нижча ніж 400:1 / 4000 000:1.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більша ніж 25 Вт.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Кабель: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D66">
              <w:rPr>
                <w:rFonts w:ascii="Times New Roman" w:hAnsi="Times New Roman"/>
                <w:sz w:val="24"/>
                <w:szCs w:val="24"/>
                <w:lang w:eastAsia="uk-UA"/>
              </w:rPr>
              <w:t>DVI  або НDMI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>, довжина не менша ніж 1,8 м.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Вимоги до джерела безперебійного живлення PC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Топологія: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Line-interactive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Тип синусоїди при роботі від батареї: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апроксимована синусоїда.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Потужність повна: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менша ніж 1000 ВА.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Потужність активна: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500 Вт.</w:t>
            </w:r>
          </w:p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Час переключення на батарейне живлення: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мсек</w:t>
            </w:r>
            <w:proofErr w:type="spellEnd"/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Вимоги до концентратора USB PC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Інтерфейс: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USB 2.0.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Кількість портів: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не менше ніж 7.</w:t>
            </w:r>
          </w:p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Живлення: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мережеве, 220 В.</w:t>
            </w:r>
          </w:p>
          <w:p w:rsidR="00366D66" w:rsidRPr="00366D66" w:rsidRDefault="00366D66" w:rsidP="00493D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Подовжувач: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USB 2.0, довжина не менша ніж 1,0 м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Вимоги до цифрової фотокамери з об’єктивом та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фотоаксесуарів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РС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 до фотокамери: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роздільна здатність знімків: не менша ніж 24 млн пікселів;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сумісність з об’єктивами: EF, EF-S та 18-55;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Саnon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EDSDK версії 3.6.1 або вище;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підтримка: JPEG, RAW;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серійна зйомка: JPEG – 3 кадри/с, RAW – 2 кадри/с;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>карти пам’яті: SD/SDHC;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живлення: мережеве, 220 В.</w:t>
            </w:r>
          </w:p>
          <w:p w:rsidR="00366D66" w:rsidRPr="00366D66" w:rsidRDefault="00366D66" w:rsidP="00493D81">
            <w:pPr>
              <w:keepNext/>
              <w:widowControl w:val="0"/>
              <w:spacing w:before="60" w:after="20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Перелік необхідних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фотоаксесуарів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штатив для фотокамери;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штатив для спалаху;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спалах для фотокамери – 4 шт.;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тримач (патрон) для спалаху – 2 шт.;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кріплення для спалаху;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комплект синхронізаторів з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радіомодулем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для спалаху (трансмітер, 2 ресивери);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парасоля для спалаху, діаметр не менше 84 см;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shd w:val="clear" w:color="auto" w:fill="FFFFFF"/>
              </w:rPr>
            </w:pPr>
            <w:r w:rsidRPr="00366D66">
              <w:rPr>
                <w:sz w:val="24"/>
                <w:szCs w:val="24"/>
                <w:shd w:val="clear" w:color="auto" w:fill="FFFFFF"/>
              </w:rPr>
              <w:t xml:space="preserve">фон </w:t>
            </w:r>
            <w:proofErr w:type="spellStart"/>
            <w:r w:rsidRPr="00366D66">
              <w:rPr>
                <w:sz w:val="24"/>
                <w:szCs w:val="24"/>
                <w:shd w:val="clear" w:color="auto" w:fill="FFFFFF"/>
              </w:rPr>
              <w:t>світловідбивний</w:t>
            </w:r>
            <w:proofErr w:type="spellEnd"/>
            <w:r w:rsidRPr="00366D66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66D66">
              <w:rPr>
                <w:sz w:val="24"/>
                <w:szCs w:val="24"/>
                <w:shd w:val="clear" w:color="auto" w:fill="FFFFFF"/>
              </w:rPr>
              <w:t>тканевій</w:t>
            </w:r>
            <w:proofErr w:type="spellEnd"/>
            <w:r w:rsidRPr="00366D66">
              <w:rPr>
                <w:sz w:val="24"/>
                <w:szCs w:val="24"/>
                <w:shd w:val="clear" w:color="auto" w:fill="FFFFFF"/>
              </w:rPr>
              <w:t xml:space="preserve"> або пластиковій основі, розмір не меншій ніж 1,2 м х 1,0 м 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1"/>
            <w:bookmarkEnd w:id="0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акумулятор типу ААА, ємність не менша ніж 1000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мAг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– 8 шт.; 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зарядний пристрій для акумуляторів типу ААА з можливістю заряджати одночасно 4 акумулятори;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подовжувач USB 2.0, довжина не менша ніж 1,0 м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>Вимоги до зчитувача відбитків пальців РС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Можливості: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зняття відбитків для кожного пальця окремо;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наявність технології ідентифікації живої тканини та штучних відбитків;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оптична схема повинна дозволяти отримувати відбитки високої якості, навіть з вологих пальців.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вікно сканування відбитків: 25 мм x 18 мм;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роздільна здатність зображень: 480 x 320 або 416 x 416, 500 пікселів на дюйм;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відповідність за якістю специфікації FBI;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динамічний діапазон більше ніж 8 біт, глибина градацій сірого більше ніж 256;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якість зображень відповідно до стандартів: CE, BSI-TR 03104, FBI PIV;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Dermalog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Fingerprint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Scanner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SDK версії 1.0.7 або вище, або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DigitalPersona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SDK 3.3.0 або вище;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інтерфейс: USB 2.0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Вимоги до планшета для підпису PC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Тип дисплея: кольоровий 5-ти дюймовий LCD дисплей з підсвічуванням; 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Світлодіодне підсвічування: яскравість 300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/м²;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Зона для підпису 108,0 x 64,8 мм;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Роздільна здатність 2540 ліній/дюйм (без інтерполяції);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Число рівнів тиску пера 1024 (без інтерполяції);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Лінійність + - 0,4 mm;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Швидкість виведення координат: 4D-зразки 500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(складаються з координат x, y, часу та тиску);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Автономне слайд-шоу з 10 зображеннями;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Індикатор стану: 2 кольорових світлодіоди, які можна </w:t>
            </w: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>програмувати;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Підключення – USB;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Споживання – не більше 2,25 W;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Ручка без живлення зі змінним наконечником пера; 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Передача даних: передача зашифрованих даних AES-256 між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хостом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і планшетом через обмін ключами RSA;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Підтримка шифрування – RSA всередині планшету;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Розмір не більше 145 х 177 х 12 мм (з тримачем для ручки); 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Вага не більше 280 г (з кабелем);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Діапазон робочої температури від -10° до +45°C;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Відносна вологість при роботі &lt;= 90 % (без конденсації);</w:t>
            </w: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Сумісність з SDK </w:t>
            </w:r>
            <w:hyperlink r:id="rId6" w:tgtFrame="Download signoPAD-API Windows V. 8.5.2040 32/64 Bit">
              <w:proofErr w:type="spellStart"/>
              <w:r w:rsidRPr="00366D66">
                <w:rPr>
                  <w:rFonts w:ascii="Times New Roman" w:hAnsi="Times New Roman"/>
                  <w:sz w:val="24"/>
                  <w:szCs w:val="24"/>
                </w:rPr>
                <w:t>signoPAD</w:t>
              </w:r>
              <w:proofErr w:type="spellEnd"/>
              <w:r w:rsidRPr="00366D66">
                <w:rPr>
                  <w:rFonts w:ascii="Times New Roman" w:hAnsi="Times New Roman"/>
                  <w:sz w:val="24"/>
                  <w:szCs w:val="24"/>
                </w:rPr>
                <w:t xml:space="preserve">-API Windows V.8 32/64 </w:t>
              </w:r>
              <w:proofErr w:type="spellStart"/>
              <w:r w:rsidRPr="00366D66">
                <w:rPr>
                  <w:rFonts w:ascii="Times New Roman" w:hAnsi="Times New Roman"/>
                  <w:sz w:val="24"/>
                  <w:szCs w:val="24"/>
                </w:rPr>
                <w:t>Bit</w:t>
              </w:r>
              <w:proofErr w:type="spellEnd"/>
            </w:hyperlink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або вище.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Вимоги до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повносторінкового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зчитувача документів (OCR, RFID, MRZ) з модулем для ID-карт PC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Можливості: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автоматичний старт сканування після прикладення документу;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сканування оптичної інформації в білому/видимому діапазоні;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сканування в інфрачервоному діапазоні;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сканування в ультрафіолетовому діапазоні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зчитування інформації з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машиночитаної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зони (MRZ зони) з документів, що відповідають стандарту ICAO 9303 включаючи паспорти, електронні паспорти, ID-картки і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Visas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, а також сумісні з ISO 18013 водійські права;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зчитування інформації безконтактного чипа.</w:t>
            </w:r>
          </w:p>
          <w:p w:rsidR="00366D66" w:rsidRPr="00366D66" w:rsidRDefault="00366D66" w:rsidP="00493D81">
            <w:pPr>
              <w:widowControl w:val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роздільна здатність зображень: 500 пікселів на дюйм;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скло загартоване товщиною не менше 4 мм, з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антибліковим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та олеофобним покриттями BS EN60068-2-75 та IEC 62262:2002, розраховане на удар 6,375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OCR MRZ зчитування: ICAO 9303;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безконтактне зчитування: ISO 14443;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стандарти: ICAO, IAS, ISO 14443,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pc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fips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сумісність з Access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Document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SDK 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швидкість обміну даними: до 848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Кбіт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/с;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інтерфейс: USB 3.0 (може підключатися до інтерфейсу USB 2.0);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живлення 5В по інтерфейсу USB 3.0  або за допомогою блоку живлення 5В.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tabs>
                <w:tab w:val="left" w:pos="746"/>
              </w:tabs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Вимоги до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багатофункціо-нального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пристрою PC (або окремих принтеру та сканеру)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Принтер: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формат друку: А4;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якість друку: 600 x 600 точок на дюйм;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швидкість друку: до 20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/хв;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інтерфейс: USB 2.0.</w:t>
            </w:r>
          </w:p>
          <w:p w:rsidR="00366D66" w:rsidRPr="00366D66" w:rsidRDefault="00366D66" w:rsidP="00493D81">
            <w:pPr>
              <w:keepNext/>
              <w:widowControl w:val="0"/>
              <w:spacing w:before="60" w:after="20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Сканер: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формат сканування: A4;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>тип сканеру: планшетний;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оптичний дозвіл сканування: до 600 x 600 точок на дюйм;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глибина кольору сканування: 24 біт;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швидкість сканування: монохромне – до 20 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/хв.;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інтерфейс: USB 2.0.</w:t>
            </w:r>
          </w:p>
          <w:p w:rsidR="00366D66" w:rsidRPr="00366D66" w:rsidRDefault="00366D66" w:rsidP="00493D81">
            <w:pPr>
              <w:widowControl w:val="0"/>
              <w:spacing w:before="60" w:after="20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Копіp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формат копіювання: A4;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оптичний дозвіл копіювання: 600 x 600 точок на дюйм;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швидкість копіювання: до 20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/хв.;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інтерфейс: USB 2.0.</w:t>
            </w:r>
          </w:p>
          <w:p w:rsidR="00366D66" w:rsidRPr="00366D66" w:rsidRDefault="00366D66" w:rsidP="00493D81">
            <w:pPr>
              <w:widowControl w:val="0"/>
              <w:spacing w:before="60" w:after="20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Підтримувані операційні системи: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Windows 10.</w:t>
            </w:r>
          </w:p>
          <w:p w:rsidR="00366D66" w:rsidRPr="00366D66" w:rsidRDefault="00366D66" w:rsidP="00493D81">
            <w:pPr>
              <w:widowControl w:val="0"/>
              <w:ind w:left="1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Кабель: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USB для багатофункціонального пристрою (або принтеру), довжина не менша ніж 3,0 м.</w:t>
            </w:r>
          </w:p>
          <w:p w:rsidR="00366D66" w:rsidRPr="00366D66" w:rsidRDefault="00366D66" w:rsidP="00493D81">
            <w:pPr>
              <w:widowControl w:val="0"/>
              <w:ind w:left="1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Додатковий картридж: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для багатофункціонального пристрою (або окремого принтеру в кількості 3 шт.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2"/>
                <w:numId w:val="1"/>
              </w:numPr>
              <w:tabs>
                <w:tab w:val="left" w:pos="746"/>
              </w:tabs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>Вимоги до цифрової клавіатури для введення ПІН-кодів PC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shd w:val="solid" w:color="FFFFFF" w:fill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Цифрова клавіатура для введення ПІН</w:t>
            </w:r>
            <w:r w:rsidRPr="00366D66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noBreakHyphen/>
              <w:t>кодів</w:t>
            </w: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Вигляд: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плоска цифрова клавіатура.</w:t>
            </w:r>
          </w:p>
          <w:p w:rsidR="00366D66" w:rsidRPr="00366D66" w:rsidRDefault="00366D66" w:rsidP="00493D81">
            <w:pPr>
              <w:widowControl w:val="0"/>
              <w:shd w:val="solid" w:color="FFFFFF" w:fill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Тип: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мембранна.</w:t>
            </w:r>
          </w:p>
          <w:p w:rsidR="00366D66" w:rsidRPr="00366D66" w:rsidRDefault="00366D66" w:rsidP="00493D81">
            <w:pPr>
              <w:widowControl w:val="0"/>
              <w:shd w:val="solid" w:color="FFFFFF" w:fill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Кількість клавіш: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19 клавіші, в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. клавіша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Backspace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Порт інтерфейсу: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USB (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NumPad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Підключення: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Plug&amp;Play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Підтримка: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Windows 10.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Вимоги до програмних компонентів РС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ind w:firstLine="1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Програмне забезпечення </w:t>
            </w:r>
            <w:r w:rsidRPr="00366D66">
              <w:rPr>
                <w:rFonts w:ascii="Times New Roman" w:hAnsi="Times New Roman"/>
                <w:b/>
                <w:i/>
                <w:sz w:val="24"/>
                <w:szCs w:val="24"/>
              </w:rPr>
              <w:t>(ПЗ)</w:t>
            </w:r>
            <w:r w:rsidRPr="00366D66">
              <w:rPr>
                <w:rFonts w:ascii="Times New Roman" w:hAnsi="Times New Roman"/>
                <w:sz w:val="24"/>
                <w:szCs w:val="24"/>
              </w:rPr>
              <w:t xml:space="preserve"> РС: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операційна система: Microsoft Windows 10 Professional 64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Bit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антивірусне ПЗ: ESET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6D66" w:rsidRPr="00366D66" w:rsidTr="00366D66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366D66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Вимоги до захищеного носія інформації (електронного ключа зберігання даних) РС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66" w:rsidRPr="00366D66" w:rsidRDefault="00366D66" w:rsidP="00493D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Захищений носій інформації (електронний ключ зберігання даних) – 2 шт.</w:t>
            </w:r>
          </w:p>
          <w:p w:rsidR="00366D66" w:rsidRPr="00366D66" w:rsidRDefault="00366D66" w:rsidP="00493D81">
            <w:pPr>
              <w:widowControl w:val="0"/>
              <w:spacing w:before="60" w:after="20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Можливості: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зберігання даних користувача з захистом від несанкціонованого доступу в зашифрованому вигляді;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підтримка двох типів дискових масивів – відкритий та захищений, загальним обсягом не менше ніж 8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Гбайт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D66" w:rsidRPr="00366D66" w:rsidRDefault="00366D66" w:rsidP="00493D81">
            <w:pPr>
              <w:widowControl w:val="0"/>
              <w:spacing w:before="60" w:after="20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D6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генерація і зберігання ключової інформації згідно з ДСТУ 4145-2002 (довжина ключа 163 – 431 біт) і RSA (довжина ключа 512 – 2048 біт);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шифрування/розшифрування електронних документів відповідно до ДСТУ, ГОСТ 28147: 2009, DES, 3-DES, AES;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формування і перевірка КЕП/ЕЦП згідно з ДСТУ 4145-</w:t>
            </w:r>
            <w:r w:rsidRPr="00366D66">
              <w:rPr>
                <w:rFonts w:ascii="Times New Roman" w:hAnsi="Times New Roman"/>
                <w:sz w:val="24"/>
                <w:szCs w:val="24"/>
              </w:rPr>
              <w:lastRenderedPageBreak/>
              <w:t>2002 (довжина ключа 163 – 431 біт) і RSA (довжина ключа 512 – 2048 біт);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обчислення хеш-функцій відповідно до ГОСТ 34.311-95, MD5, SHA;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реалізація схеми автентифікації згідно з ISO 9798-3;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обсяг пам'яті не менше ніж 32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Кбайт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обсяг флеш пам'яті: не менше ніж 8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Гбайт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швидкість зчитування/запису даних на відкритому диску, не менше ніж 5 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Мбайт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/с;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інтерфейс USB 2.0;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 xml:space="preserve">підтримка стандартів Windows PC/SC; Microsoft CCID; USB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66">
              <w:rPr>
                <w:rFonts w:ascii="Times New Roman" w:hAnsi="Times New Roman"/>
                <w:sz w:val="24"/>
                <w:szCs w:val="24"/>
              </w:rPr>
              <w:t>Storage</w:t>
            </w:r>
            <w:proofErr w:type="spellEnd"/>
            <w:r w:rsidRPr="00366D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D66" w:rsidRPr="00366D66" w:rsidRDefault="00366D66" w:rsidP="00366D6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66">
              <w:rPr>
                <w:rFonts w:ascii="Times New Roman" w:hAnsi="Times New Roman"/>
                <w:sz w:val="24"/>
                <w:szCs w:val="24"/>
              </w:rPr>
              <w:t>підтримка операційної системи сімейства Windows (версії операційної системи, що постачається)</w:t>
            </w:r>
          </w:p>
        </w:tc>
      </w:tr>
    </w:tbl>
    <w:p w:rsidR="00366D66" w:rsidRDefault="00366D66">
      <w:pPr>
        <w:rPr>
          <w:lang w:val="ru-RU"/>
        </w:rPr>
      </w:pPr>
    </w:p>
    <w:p w:rsidR="00635B40" w:rsidRPr="00A50576" w:rsidRDefault="00635B40" w:rsidP="0063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 xml:space="preserve">Строк поставки Товару: до </w:t>
      </w:r>
      <w:r>
        <w:rPr>
          <w:rFonts w:ascii="Times New Roman" w:hAnsi="Times New Roman"/>
          <w:sz w:val="24"/>
          <w:szCs w:val="24"/>
          <w:lang w:val="ru-RU"/>
        </w:rPr>
        <w:t xml:space="preserve">01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вересня</w:t>
      </w:r>
      <w:proofErr w:type="spellEnd"/>
      <w:r w:rsidRPr="00A505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0576">
        <w:rPr>
          <w:rFonts w:ascii="Times New Roman" w:hAnsi="Times New Roman"/>
          <w:sz w:val="24"/>
          <w:szCs w:val="24"/>
        </w:rPr>
        <w:t>2023 року.</w:t>
      </w:r>
    </w:p>
    <w:p w:rsidR="00635B40" w:rsidRPr="00A50576" w:rsidRDefault="00635B40" w:rsidP="0063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Вартість Товару повинна включати в себе транспортні витрати, навантаження, розвантаження за місцем знаходження закладу, а також інші податки і збори (страхування, сплату митних тарифів, податків, зборів тощо).</w:t>
      </w:r>
    </w:p>
    <w:p w:rsidR="00635B40" w:rsidRPr="00A50576" w:rsidRDefault="00635B40" w:rsidP="0063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Примітка: характеристики повинні відповідати або бути кращими за показники, наведені у даній таблиці. Невиконання вимог цього розділу документації у пропозиції Учасника призводить до її відхилення.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випадку, якщо Учасником буде запропоновано «еквівалент» та обладнання із іншими характеристиками, аніж ті, які передбачені у даному додатку – учасник подає додатково порівняльну характеристику та обґрунтування того, що запропоноване обладнання є кращим.</w:t>
      </w:r>
    </w:p>
    <w:p w:rsidR="00635B40" w:rsidRPr="00A50576" w:rsidRDefault="00635B40" w:rsidP="0063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Еквівалентом є товари, роботи, послуги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зазначеними у технічному завданні.</w:t>
      </w:r>
    </w:p>
    <w:p w:rsidR="00635B40" w:rsidRPr="00A50576" w:rsidRDefault="00635B40" w:rsidP="0063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У разі надання еквіваленту, учасник надає порівняльну таблицю із зазначенням конкретної назви, технічних, кількісних, якісних характеристик запропонованого еквіваленту у відповідності до технічних вимог встановлених Додатком 2 до тендерної документації.</w:t>
      </w:r>
    </w:p>
    <w:p w:rsidR="00635B40" w:rsidRPr="00FA41ED" w:rsidRDefault="00635B40" w:rsidP="00635B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1ED">
        <w:rPr>
          <w:rFonts w:ascii="Times New Roman" w:hAnsi="Times New Roman"/>
          <w:sz w:val="24"/>
          <w:szCs w:val="24"/>
        </w:rPr>
        <w:t>Обгрунтування</w:t>
      </w:r>
      <w:proofErr w:type="spellEnd"/>
      <w:r w:rsidRPr="00FA41ED">
        <w:rPr>
          <w:rFonts w:ascii="Times New Roman" w:hAnsi="Times New Roman"/>
          <w:sz w:val="24"/>
          <w:szCs w:val="24"/>
        </w:rPr>
        <w:t xml:space="preserve"> посилання в тексті тендерної документації на торговельну марку, фірму, патент, конструкцію або тип предмету закупівлі, джерело його походження або виробника: посилання здійснюється з метою забезпечення поставки якісних товарів, робіт, послуг, які за своїми характеристиками не повинні бути гіршими, ніж в вищезазначених посиланнях</w:t>
      </w:r>
      <w:r w:rsidR="00351462" w:rsidRPr="00FA41ED">
        <w:rPr>
          <w:rFonts w:ascii="Times New Roman" w:hAnsi="Times New Roman"/>
          <w:sz w:val="24"/>
          <w:szCs w:val="24"/>
        </w:rPr>
        <w:t>, а також, уповноважена особа не є спеціалістом відповідної кваліфікації задля встановлення чіткого переліку необхідних характеристик для закупівлі «Робоча станція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особи», 30210000-4 Машини для обробки даних (апаратна частина) за ДК 021:2015 Єдиного закупівельного словника</w:t>
      </w:r>
      <w:r w:rsidRPr="00FA41ED">
        <w:rPr>
          <w:rFonts w:ascii="Times New Roman" w:hAnsi="Times New Roman"/>
          <w:sz w:val="24"/>
          <w:szCs w:val="24"/>
        </w:rPr>
        <w:t>.</w:t>
      </w:r>
    </w:p>
    <w:p w:rsidR="00AC532C" w:rsidRPr="00A50576" w:rsidRDefault="00AC532C" w:rsidP="00AC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A50576">
        <w:rPr>
          <w:rFonts w:ascii="Times New Roman" w:hAnsi="Times New Roman"/>
          <w:b/>
          <w:sz w:val="24"/>
          <w:szCs w:val="24"/>
        </w:rPr>
        <w:t>Загальні вимоги до предмету закупівлі:</w:t>
      </w:r>
    </w:p>
    <w:p w:rsidR="00AC532C" w:rsidRPr="00A50576" w:rsidRDefault="00AC532C" w:rsidP="00AC532C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Якість товару повинна відповідати вимогам відповідних діючих нормативних документів та відповідати параметрам та вимогам, зазначеним у цьому додатку.</w:t>
      </w:r>
    </w:p>
    <w:p w:rsidR="00AC532C" w:rsidRPr="00A50576" w:rsidRDefault="00AC532C" w:rsidP="00AC532C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Якісно поставленим товаром вважається товар, який відповідає вимогам, що зазвичай ставляться до товару відповідного характеру.</w:t>
      </w:r>
    </w:p>
    <w:p w:rsidR="00AC532C" w:rsidRPr="00A50576" w:rsidRDefault="00AC532C" w:rsidP="00AC532C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lastRenderedPageBreak/>
        <w:t>Товар, який постачається, повинен бути таким, що не перебував в експлуатації, терміни та умови його зберігання не порушені.</w:t>
      </w:r>
    </w:p>
    <w:p w:rsidR="00AC532C" w:rsidRPr="00A50576" w:rsidRDefault="00AC532C" w:rsidP="00AC532C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Гарантійний строк на обладнання повинен становити не менше гарантійного строку, визначеного виробником обладнання, але не менше 12 місяців з дати його отримання замовником (з дати підписання видаткової накладної).</w:t>
      </w:r>
    </w:p>
    <w:p w:rsidR="00AC532C" w:rsidRPr="00A50576" w:rsidRDefault="00AC532C" w:rsidP="00AC532C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В комплекті з обладнанням предмету закупівлі замовнику передаються: інструкції з експлуатації обладнання (за наявності), гарантійні документи (обов’язково).</w:t>
      </w:r>
    </w:p>
    <w:p w:rsidR="00AC532C" w:rsidRPr="00A50576" w:rsidRDefault="00AC532C" w:rsidP="00AC532C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Транспортні послуги та інші витрати (пакування, встановлення та монтаж обладнання, інсталяція програмних компонентів, а також придбання необхідних додаткових матеріалів, інструментів та приладдя тощо) здійснюватися за рахунок постачальника.</w:t>
      </w:r>
    </w:p>
    <w:p w:rsidR="00AC532C" w:rsidRPr="00A50576" w:rsidRDefault="00AC532C" w:rsidP="00AC5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Будь-які відхилення допускаються лише в разі погодження на етапі уточнень через відповідні інструменти електронного торгівельного майданчика.</w:t>
      </w:r>
    </w:p>
    <w:p w:rsidR="00AC532C" w:rsidRPr="00A50576" w:rsidRDefault="00AC532C" w:rsidP="00AC532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>7. Для підтвердження можливості постачання предмету закупівлі учасник у складі тендерної пропозиції також надає:</w:t>
      </w:r>
    </w:p>
    <w:p w:rsidR="00AC532C" w:rsidRPr="00A50576" w:rsidRDefault="00AC532C" w:rsidP="00AC532C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 xml:space="preserve">-документ щодо наявності в Україні сервісних центрів для гарантійного та післягарантійного ремонту зчитувачів відбитків пальців, планшетів для підпису, </w:t>
      </w:r>
      <w:proofErr w:type="spellStart"/>
      <w:r w:rsidRPr="00A50576">
        <w:rPr>
          <w:rFonts w:ascii="Times New Roman" w:hAnsi="Times New Roman"/>
          <w:sz w:val="24"/>
          <w:szCs w:val="24"/>
        </w:rPr>
        <w:t>повносторінкових</w:t>
      </w:r>
      <w:proofErr w:type="spellEnd"/>
      <w:r w:rsidRPr="00A50576">
        <w:rPr>
          <w:rFonts w:ascii="Times New Roman" w:hAnsi="Times New Roman"/>
          <w:sz w:val="24"/>
          <w:szCs w:val="24"/>
        </w:rPr>
        <w:t xml:space="preserve"> зчитувачів документів;</w:t>
      </w:r>
    </w:p>
    <w:p w:rsidR="00AC532C" w:rsidRPr="00E56D83" w:rsidRDefault="00AC532C" w:rsidP="00AC5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576">
        <w:rPr>
          <w:rFonts w:ascii="Times New Roman" w:hAnsi="Times New Roman"/>
          <w:sz w:val="24"/>
          <w:szCs w:val="24"/>
        </w:rPr>
        <w:t xml:space="preserve">-копію декларації відповідності на </w:t>
      </w:r>
      <w:proofErr w:type="spellStart"/>
      <w:r w:rsidRPr="00A50576">
        <w:rPr>
          <w:rFonts w:ascii="Times New Roman" w:hAnsi="Times New Roman"/>
          <w:sz w:val="24"/>
          <w:szCs w:val="24"/>
        </w:rPr>
        <w:t>повносторінковий</w:t>
      </w:r>
      <w:proofErr w:type="spellEnd"/>
      <w:r w:rsidRPr="00A50576">
        <w:rPr>
          <w:rFonts w:ascii="Times New Roman" w:hAnsi="Times New Roman"/>
          <w:sz w:val="24"/>
          <w:szCs w:val="24"/>
        </w:rPr>
        <w:t xml:space="preserve"> зчитувач документів, зчитувачів відбитків пальців, планшет для підпису</w:t>
      </w:r>
      <w:r w:rsidR="00E56D83" w:rsidRPr="00E56D83">
        <w:rPr>
          <w:rFonts w:ascii="Times New Roman" w:hAnsi="Times New Roman"/>
          <w:sz w:val="24"/>
          <w:szCs w:val="24"/>
        </w:rPr>
        <w:t>.</w:t>
      </w:r>
    </w:p>
    <w:p w:rsidR="00E56D83" w:rsidRPr="008D34C6" w:rsidRDefault="00E56D83" w:rsidP="00AC5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8D34C6">
        <w:rPr>
          <w:rFonts w:ascii="Times New Roman" w:hAnsi="Times New Roman"/>
          <w:b/>
          <w:i/>
          <w:sz w:val="24"/>
          <w:szCs w:val="24"/>
        </w:rPr>
        <w:t xml:space="preserve">А також, у своїй тендерній пропозиції Учасник подає: 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D83">
        <w:rPr>
          <w:rFonts w:ascii="Times New Roman" w:hAnsi="Times New Roman"/>
          <w:sz w:val="24"/>
          <w:szCs w:val="24"/>
        </w:rPr>
        <w:t>- д</w:t>
      </w:r>
      <w:r w:rsidRPr="00E56D83">
        <w:rPr>
          <w:rFonts w:ascii="Times New Roman" w:hAnsi="Times New Roman"/>
          <w:sz w:val="24"/>
          <w:szCs w:val="24"/>
        </w:rPr>
        <w:t>овідку довільної форми, в якій зазначено інформацію про учасника (назва учасника, код ЄДРПОУ, місцезнаходження, поштова адреса, телефон, електронна адреса, розрахунковий рахунок, відомості про контактну особу (прізвище, ім’я, по-батько</w:t>
      </w:r>
      <w:r>
        <w:rPr>
          <w:rFonts w:ascii="Times New Roman" w:hAnsi="Times New Roman"/>
          <w:sz w:val="24"/>
          <w:szCs w:val="24"/>
        </w:rPr>
        <w:t>ві, посада, контактний телефон)</w:t>
      </w:r>
      <w:r w:rsidRPr="00E56D83">
        <w:rPr>
          <w:rFonts w:ascii="Times New Roman" w:hAnsi="Times New Roman"/>
          <w:sz w:val="24"/>
          <w:szCs w:val="24"/>
        </w:rPr>
        <w:t>;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 д</w:t>
      </w:r>
      <w:proofErr w:type="spellStart"/>
      <w:r w:rsidRPr="00E56D83">
        <w:rPr>
          <w:rFonts w:ascii="Times New Roman" w:hAnsi="Times New Roman"/>
          <w:sz w:val="24"/>
          <w:szCs w:val="24"/>
        </w:rPr>
        <w:t>окументи</w:t>
      </w:r>
      <w:proofErr w:type="spellEnd"/>
      <w:r w:rsidRPr="00E56D83">
        <w:rPr>
          <w:rFonts w:ascii="Times New Roman" w:hAnsi="Times New Roman"/>
          <w:sz w:val="24"/>
          <w:szCs w:val="24"/>
        </w:rPr>
        <w:t xml:space="preserve">, що </w:t>
      </w:r>
      <w:proofErr w:type="gramStart"/>
      <w:r w:rsidRPr="00E56D83">
        <w:rPr>
          <w:rFonts w:ascii="Times New Roman" w:hAnsi="Times New Roman"/>
          <w:sz w:val="24"/>
          <w:szCs w:val="24"/>
        </w:rPr>
        <w:t>п</w:t>
      </w:r>
      <w:proofErr w:type="gramEnd"/>
      <w:r w:rsidRPr="00E56D83">
        <w:rPr>
          <w:rFonts w:ascii="Times New Roman" w:hAnsi="Times New Roman"/>
          <w:sz w:val="24"/>
          <w:szCs w:val="24"/>
        </w:rPr>
        <w:t xml:space="preserve">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підтверджується:  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D83">
        <w:rPr>
          <w:rFonts w:ascii="Times New Roman" w:hAnsi="Times New Roman"/>
          <w:sz w:val="24"/>
          <w:szCs w:val="24"/>
        </w:rPr>
        <w:t>1) у разі, якщо учасником є юридична особа – протокол установчих/загальних зборів або виписка з протоколу установчих/загальних зборів (спостережної (наглядової) ради та ін.) або рішення засновника, або інший розпорядчий документ органу підприємства/організації до компетенції якого, згідно статутних документів, відноситься прийняття такого рішення, наказ/розпорядження про призначення керівника;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D83">
        <w:rPr>
          <w:rFonts w:ascii="Times New Roman" w:hAnsi="Times New Roman"/>
          <w:sz w:val="24"/>
          <w:szCs w:val="24"/>
        </w:rPr>
        <w:t xml:space="preserve">2) у разі, якщо учасником є фізична особа, або фізична особа-підприємець (далі – уповноважена особа) – копію паспорта, довідку про присвоєння ідентифікаційного номеру, або копію реєстраційного номеру облікової картки платника податків (у разі відсутності з релігійних переконань, копію </w:t>
      </w:r>
      <w:proofErr w:type="spellStart"/>
      <w:r w:rsidRPr="00E56D83">
        <w:rPr>
          <w:rFonts w:ascii="Times New Roman" w:hAnsi="Times New Roman"/>
          <w:sz w:val="24"/>
          <w:szCs w:val="24"/>
        </w:rPr>
        <w:t>стр</w:t>
      </w:r>
      <w:proofErr w:type="spellEnd"/>
      <w:r w:rsidRPr="00E56D83">
        <w:rPr>
          <w:rFonts w:ascii="Times New Roman" w:hAnsi="Times New Roman"/>
          <w:sz w:val="24"/>
          <w:szCs w:val="24"/>
        </w:rPr>
        <w:t>. паспорта з відповідною відміткою);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 к</w:t>
      </w:r>
      <w:proofErr w:type="spellStart"/>
      <w:r w:rsidRPr="00E56D83">
        <w:rPr>
          <w:rFonts w:ascii="Times New Roman" w:hAnsi="Times New Roman"/>
          <w:sz w:val="24"/>
          <w:szCs w:val="24"/>
        </w:rPr>
        <w:t>опія</w:t>
      </w:r>
      <w:proofErr w:type="spellEnd"/>
      <w:r w:rsidRPr="00E56D83">
        <w:rPr>
          <w:rFonts w:ascii="Times New Roman" w:hAnsi="Times New Roman"/>
          <w:sz w:val="24"/>
          <w:szCs w:val="24"/>
        </w:rPr>
        <w:t xml:space="preserve"> Статуту із змінами (в разі їх наявності) або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та здійснення діяльності на підставі модельного Статуту.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 г</w:t>
      </w:r>
      <w:proofErr w:type="spellStart"/>
      <w:r w:rsidRPr="00E56D83">
        <w:rPr>
          <w:rFonts w:ascii="Times New Roman" w:hAnsi="Times New Roman"/>
          <w:sz w:val="24"/>
          <w:szCs w:val="24"/>
        </w:rPr>
        <w:t>арантійний</w:t>
      </w:r>
      <w:proofErr w:type="spellEnd"/>
      <w:r w:rsidRPr="00E56D83">
        <w:rPr>
          <w:rFonts w:ascii="Times New Roman" w:hAnsi="Times New Roman"/>
          <w:sz w:val="24"/>
          <w:szCs w:val="24"/>
        </w:rPr>
        <w:t xml:space="preserve"> лист про те, що, в разі поставки товару неналежної якості, Учасник зобов’язується за власний рахунок в термін не </w:t>
      </w:r>
      <w:proofErr w:type="gramStart"/>
      <w:r w:rsidRPr="00E56D83">
        <w:rPr>
          <w:rFonts w:ascii="Times New Roman" w:hAnsi="Times New Roman"/>
          <w:sz w:val="24"/>
          <w:szCs w:val="24"/>
        </w:rPr>
        <w:t>п</w:t>
      </w:r>
      <w:proofErr w:type="gramEnd"/>
      <w:r w:rsidRPr="00E56D83">
        <w:rPr>
          <w:rFonts w:ascii="Times New Roman" w:hAnsi="Times New Roman"/>
          <w:sz w:val="24"/>
          <w:szCs w:val="24"/>
        </w:rPr>
        <w:t>ізніше 10-ти календарних днів з моменту виявлення, замінити такий товар на якісний.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56D83">
        <w:rPr>
          <w:rFonts w:ascii="Times New Roman" w:hAnsi="Times New Roman"/>
          <w:sz w:val="24"/>
          <w:szCs w:val="24"/>
        </w:rPr>
        <w:t xml:space="preserve">Лист-згода довільної форми на погодження з усіма </w:t>
      </w:r>
      <w:proofErr w:type="gramStart"/>
      <w:r w:rsidRPr="00E56D83">
        <w:rPr>
          <w:rFonts w:ascii="Times New Roman" w:hAnsi="Times New Roman"/>
          <w:sz w:val="24"/>
          <w:szCs w:val="24"/>
        </w:rPr>
        <w:t>техн</w:t>
      </w:r>
      <w:proofErr w:type="gramEnd"/>
      <w:r w:rsidRPr="00E56D83">
        <w:rPr>
          <w:rFonts w:ascii="Times New Roman" w:hAnsi="Times New Roman"/>
          <w:sz w:val="24"/>
          <w:szCs w:val="24"/>
        </w:rPr>
        <w:t>ічними, якісними та іншими характеристиками до предмета закупівлі, які зазначені в Додатку 2 тендерної документації.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proofErr w:type="gramEnd"/>
      <w:r w:rsidRPr="00E56D83">
        <w:rPr>
          <w:rFonts w:ascii="Times New Roman" w:hAnsi="Times New Roman"/>
          <w:sz w:val="24"/>
          <w:szCs w:val="24"/>
        </w:rPr>
        <w:t>ідписаний</w:t>
      </w:r>
      <w:proofErr w:type="spellEnd"/>
      <w:r w:rsidRPr="00E56D83">
        <w:rPr>
          <w:rFonts w:ascii="Times New Roman" w:hAnsi="Times New Roman"/>
          <w:sz w:val="24"/>
          <w:szCs w:val="24"/>
        </w:rPr>
        <w:t xml:space="preserve"> та завірений печаткою (у разі її наявності) </w:t>
      </w:r>
      <w:proofErr w:type="spellStart"/>
      <w:r w:rsidRPr="00E56D83">
        <w:rPr>
          <w:rFonts w:ascii="Times New Roman" w:hAnsi="Times New Roman"/>
          <w:sz w:val="24"/>
          <w:szCs w:val="24"/>
        </w:rPr>
        <w:t>проєкт</w:t>
      </w:r>
      <w:proofErr w:type="spellEnd"/>
      <w:r w:rsidRPr="00E56D83">
        <w:rPr>
          <w:rFonts w:ascii="Times New Roman" w:hAnsi="Times New Roman"/>
          <w:sz w:val="24"/>
          <w:szCs w:val="24"/>
        </w:rPr>
        <w:t xml:space="preserve"> Договору про закупівлю (Додаток </w:t>
      </w:r>
      <w:r w:rsidRPr="00E56D83">
        <w:rPr>
          <w:rFonts w:ascii="Times New Roman" w:hAnsi="Times New Roman"/>
          <w:sz w:val="24"/>
          <w:szCs w:val="24"/>
        </w:rPr>
        <w:t>3</w:t>
      </w:r>
      <w:r w:rsidRPr="00E56D83">
        <w:rPr>
          <w:rFonts w:ascii="Times New Roman" w:hAnsi="Times New Roman"/>
          <w:sz w:val="24"/>
          <w:szCs w:val="24"/>
        </w:rPr>
        <w:t xml:space="preserve"> тендерної документації).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D8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56D83">
        <w:rPr>
          <w:rFonts w:ascii="Times New Roman" w:hAnsi="Times New Roman"/>
          <w:sz w:val="24"/>
          <w:szCs w:val="24"/>
        </w:rPr>
        <w:t>Свідоцтво про реєстрацію платника ПДВ або витяг (довідка) з реєстру платників ПДВ, або свідоцтво про право сплати єдиного податку, або витяг з реєстру платників єдиного податку.</w:t>
      </w:r>
    </w:p>
    <w:p w:rsidR="00E56D83" w:rsidRPr="00E56D83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56D83">
        <w:rPr>
          <w:rFonts w:ascii="Times New Roman" w:hAnsi="Times New Roman"/>
          <w:sz w:val="24"/>
          <w:szCs w:val="24"/>
        </w:rPr>
        <w:t>Витяг або Виписка з Єдиного державного реєстру юридичних осіб, фізичних осіб-підприємці</w:t>
      </w:r>
      <w:proofErr w:type="gramStart"/>
      <w:r w:rsidRPr="00E56D83">
        <w:rPr>
          <w:rFonts w:ascii="Times New Roman" w:hAnsi="Times New Roman"/>
          <w:sz w:val="24"/>
          <w:szCs w:val="24"/>
        </w:rPr>
        <w:t>в</w:t>
      </w:r>
      <w:proofErr w:type="gramEnd"/>
      <w:r w:rsidRPr="00E56D83">
        <w:rPr>
          <w:rFonts w:ascii="Times New Roman" w:hAnsi="Times New Roman"/>
          <w:sz w:val="24"/>
          <w:szCs w:val="24"/>
        </w:rPr>
        <w:t xml:space="preserve"> та громадських формувань.</w:t>
      </w:r>
    </w:p>
    <w:p w:rsidR="006B76D6" w:rsidRDefault="006B76D6" w:rsidP="00E56D8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B40" w:rsidRDefault="00E56D83" w:rsidP="00E56D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76D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B76D6">
        <w:rPr>
          <w:rFonts w:ascii="Times New Roman" w:hAnsi="Times New Roman"/>
          <w:sz w:val="24"/>
          <w:szCs w:val="24"/>
        </w:rPr>
        <w:t xml:space="preserve">Гарантійний лист довільної форми щодо застосування заходів із захисту довкілля </w:t>
      </w:r>
      <w:proofErr w:type="gramStart"/>
      <w:r w:rsidRPr="006B76D6">
        <w:rPr>
          <w:rFonts w:ascii="Times New Roman" w:hAnsi="Times New Roman"/>
          <w:sz w:val="24"/>
          <w:szCs w:val="24"/>
        </w:rPr>
        <w:t>п</w:t>
      </w:r>
      <w:proofErr w:type="gramEnd"/>
      <w:r w:rsidRPr="006B76D6">
        <w:rPr>
          <w:rFonts w:ascii="Times New Roman" w:hAnsi="Times New Roman"/>
          <w:sz w:val="24"/>
          <w:szCs w:val="24"/>
        </w:rPr>
        <w:t>ід час постачання товару.</w:t>
      </w:r>
    </w:p>
    <w:p w:rsidR="006B76D6" w:rsidRDefault="006B76D6" w:rsidP="006B76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Учасник, у </w:t>
      </w:r>
      <w:proofErr w:type="spellStart"/>
      <w:r>
        <w:rPr>
          <w:rFonts w:ascii="Times New Roman" w:hAnsi="Times New Roman"/>
          <w:sz w:val="24"/>
          <w:szCs w:val="24"/>
        </w:rPr>
        <w:t>ходi</w:t>
      </w:r>
      <w:proofErr w:type="spellEnd"/>
      <w:r>
        <w:rPr>
          <w:rFonts w:ascii="Times New Roman" w:hAnsi="Times New Roman"/>
          <w:sz w:val="24"/>
          <w:szCs w:val="24"/>
        </w:rPr>
        <w:t xml:space="preserve"> своє</w:t>
      </w:r>
      <w:r w:rsidRPr="006B76D6">
        <w:rPr>
          <w:rFonts w:ascii="Times New Roman" w:hAnsi="Times New Roman"/>
          <w:sz w:val="24"/>
          <w:szCs w:val="24"/>
        </w:rPr>
        <w:t xml:space="preserve">ї </w:t>
      </w:r>
      <w:proofErr w:type="spellStart"/>
      <w:r w:rsidRPr="006B76D6">
        <w:rPr>
          <w:rFonts w:ascii="Times New Roman" w:hAnsi="Times New Roman"/>
          <w:sz w:val="24"/>
          <w:szCs w:val="24"/>
        </w:rPr>
        <w:t>дiяльностi</w:t>
      </w:r>
      <w:proofErr w:type="spellEnd"/>
      <w:r w:rsidRPr="006B76D6">
        <w:rPr>
          <w:rFonts w:ascii="Times New Roman" w:hAnsi="Times New Roman"/>
          <w:sz w:val="24"/>
          <w:szCs w:val="24"/>
        </w:rPr>
        <w:t xml:space="preserve">, повинен застосовувати заходи щодо захисту </w:t>
      </w:r>
      <w:proofErr w:type="spellStart"/>
      <w:r w:rsidRPr="006B76D6">
        <w:rPr>
          <w:rFonts w:ascii="Times New Roman" w:hAnsi="Times New Roman"/>
          <w:sz w:val="24"/>
          <w:szCs w:val="24"/>
        </w:rPr>
        <w:t>довкiлля</w:t>
      </w:r>
      <w:proofErr w:type="spellEnd"/>
      <w:r w:rsidRPr="006B76D6">
        <w:rPr>
          <w:rFonts w:ascii="Times New Roman" w:hAnsi="Times New Roman"/>
          <w:sz w:val="24"/>
          <w:szCs w:val="24"/>
        </w:rPr>
        <w:t xml:space="preserve"> та дотримуватися положень чинних нормативно-правових </w:t>
      </w:r>
      <w:proofErr w:type="spellStart"/>
      <w:r w:rsidRPr="006B76D6">
        <w:rPr>
          <w:rFonts w:ascii="Times New Roman" w:hAnsi="Times New Roman"/>
          <w:sz w:val="24"/>
          <w:szCs w:val="24"/>
        </w:rPr>
        <w:t>aктів</w:t>
      </w:r>
      <w:proofErr w:type="spellEnd"/>
      <w:r w:rsidRPr="006B76D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B76D6">
        <w:rPr>
          <w:rFonts w:ascii="Times New Roman" w:hAnsi="Times New Roman"/>
          <w:sz w:val="24"/>
          <w:szCs w:val="24"/>
        </w:rPr>
        <w:t>галузi</w:t>
      </w:r>
      <w:proofErr w:type="spellEnd"/>
      <w:r w:rsidRPr="006B76D6">
        <w:rPr>
          <w:rFonts w:ascii="Times New Roman" w:hAnsi="Times New Roman"/>
          <w:sz w:val="24"/>
          <w:szCs w:val="24"/>
        </w:rPr>
        <w:t xml:space="preserve"> охорони навколишнього середовища та </w:t>
      </w:r>
      <w:proofErr w:type="spellStart"/>
      <w:r w:rsidRPr="006B76D6">
        <w:rPr>
          <w:rFonts w:ascii="Times New Roman" w:hAnsi="Times New Roman"/>
          <w:sz w:val="24"/>
          <w:szCs w:val="24"/>
        </w:rPr>
        <w:t>екологiчної</w:t>
      </w:r>
      <w:proofErr w:type="spellEnd"/>
      <w:r w:rsidRPr="006B76D6">
        <w:rPr>
          <w:rFonts w:ascii="Times New Roman" w:hAnsi="Times New Roman"/>
          <w:sz w:val="24"/>
          <w:szCs w:val="24"/>
        </w:rPr>
        <w:t xml:space="preserve"> безпеки:</w:t>
      </w:r>
    </w:p>
    <w:p w:rsidR="00DB0B9A" w:rsidRDefault="006B76D6" w:rsidP="006B76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B0B9A">
        <w:rPr>
          <w:rFonts w:ascii="Times New Roman" w:hAnsi="Times New Roman"/>
          <w:sz w:val="24"/>
          <w:szCs w:val="24"/>
        </w:rPr>
        <w:t xml:space="preserve">При виконанні замовлення Учасник </w:t>
      </w:r>
      <w:r>
        <w:rPr>
          <w:rFonts w:ascii="Times New Roman" w:hAnsi="Times New Roman"/>
          <w:sz w:val="24"/>
          <w:szCs w:val="24"/>
        </w:rPr>
        <w:t>дотримується вимог чинного законодавства України із захисту довкілля (зокрема, але не виключно):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>технічні, якісні характеристики предмету закупівлі повинні відповідати встановленим/зареєстрованим діючим нормативним актам, які передбачають застосування заходів із захисту довкілля</w:t>
      </w:r>
      <w:r w:rsidR="00B67941">
        <w:rPr>
          <w:rFonts w:ascii="Times New Roman" w:hAnsi="Times New Roman"/>
          <w:sz w:val="24"/>
          <w:szCs w:val="24"/>
        </w:rPr>
        <w:t xml:space="preserve"> (для підтвердження Учасник </w:t>
      </w:r>
      <w:r w:rsidR="00B67941" w:rsidRPr="008D34C6">
        <w:rPr>
          <w:rFonts w:ascii="Times New Roman" w:hAnsi="Times New Roman"/>
          <w:sz w:val="24"/>
          <w:szCs w:val="24"/>
        </w:rPr>
        <w:t xml:space="preserve">надає </w:t>
      </w:r>
      <w:proofErr w:type="spellStart"/>
      <w:r w:rsidR="00B67941" w:rsidRPr="008D34C6">
        <w:rPr>
          <w:rFonts w:ascii="Times New Roman" w:hAnsi="Times New Roman"/>
          <w:iCs/>
          <w:sz w:val="24"/>
          <w:szCs w:val="24"/>
        </w:rPr>
        <w:t>с</w:t>
      </w:r>
      <w:r w:rsidR="00B67941" w:rsidRPr="008D34C6">
        <w:rPr>
          <w:rFonts w:ascii="Times New Roman" w:hAnsi="Times New Roman"/>
          <w:iCs/>
          <w:sz w:val="24"/>
          <w:szCs w:val="24"/>
        </w:rPr>
        <w:t>кан</w:t>
      </w:r>
      <w:proofErr w:type="spellEnd"/>
      <w:r w:rsidR="00B67941" w:rsidRPr="008D34C6">
        <w:rPr>
          <w:rFonts w:ascii="Times New Roman" w:hAnsi="Times New Roman"/>
          <w:iCs/>
          <w:sz w:val="24"/>
          <w:szCs w:val="24"/>
        </w:rPr>
        <w:t>-к</w:t>
      </w:r>
      <w:r w:rsidR="00B67941" w:rsidRPr="008D34C6">
        <w:rPr>
          <w:rFonts w:ascii="Times New Roman" w:hAnsi="Times New Roman"/>
          <w:sz w:val="24"/>
          <w:szCs w:val="24"/>
        </w:rPr>
        <w:t>опію</w:t>
      </w:r>
      <w:r w:rsidR="00B67941" w:rsidRPr="008D34C6">
        <w:rPr>
          <w:rFonts w:ascii="Times New Roman" w:hAnsi="Times New Roman"/>
          <w:sz w:val="24"/>
          <w:szCs w:val="24"/>
        </w:rPr>
        <w:t xml:space="preserve"> чинного на дату розкриття </w:t>
      </w:r>
      <w:r w:rsidR="00B67941" w:rsidRPr="008D34C6">
        <w:rPr>
          <w:rFonts w:ascii="Times New Roman" w:hAnsi="Times New Roman"/>
          <w:sz w:val="24"/>
          <w:szCs w:val="24"/>
        </w:rPr>
        <w:t xml:space="preserve">пропозиції </w:t>
      </w:r>
      <w:r w:rsidR="00B67941" w:rsidRPr="008D34C6">
        <w:rPr>
          <w:rFonts w:ascii="Times New Roman" w:hAnsi="Times New Roman"/>
          <w:sz w:val="24"/>
          <w:szCs w:val="24"/>
        </w:rPr>
        <w:t xml:space="preserve">висновку державної санітарно-епідеміологічної експертизи та/або </w:t>
      </w:r>
      <w:proofErr w:type="spellStart"/>
      <w:r w:rsidR="00B67941" w:rsidRPr="008D34C6">
        <w:rPr>
          <w:rFonts w:ascii="Times New Roman" w:hAnsi="Times New Roman"/>
          <w:sz w:val="24"/>
          <w:szCs w:val="24"/>
        </w:rPr>
        <w:t>с</w:t>
      </w:r>
      <w:r w:rsidR="00B67941" w:rsidRPr="008D34C6">
        <w:rPr>
          <w:rFonts w:ascii="Times New Roman" w:hAnsi="Times New Roman"/>
          <w:iCs/>
          <w:sz w:val="24"/>
          <w:szCs w:val="24"/>
        </w:rPr>
        <w:t>кан</w:t>
      </w:r>
      <w:proofErr w:type="spellEnd"/>
      <w:r w:rsidR="00B67941" w:rsidRPr="008D34C6">
        <w:rPr>
          <w:rFonts w:ascii="Times New Roman" w:hAnsi="Times New Roman"/>
          <w:iCs/>
          <w:sz w:val="24"/>
          <w:szCs w:val="24"/>
        </w:rPr>
        <w:t>-к</w:t>
      </w:r>
      <w:r w:rsidR="00B67941" w:rsidRPr="008D34C6">
        <w:rPr>
          <w:rFonts w:ascii="Times New Roman" w:hAnsi="Times New Roman"/>
          <w:sz w:val="24"/>
          <w:szCs w:val="24"/>
        </w:rPr>
        <w:t>опію</w:t>
      </w:r>
      <w:r w:rsidR="00B67941" w:rsidRPr="008D34C6">
        <w:rPr>
          <w:rFonts w:ascii="Times New Roman" w:hAnsi="Times New Roman"/>
          <w:sz w:val="24"/>
          <w:szCs w:val="24"/>
        </w:rPr>
        <w:t xml:space="preserve"> чинного на дату розкриття</w:t>
      </w:r>
      <w:r w:rsidR="00B67941" w:rsidRPr="008D34C6">
        <w:rPr>
          <w:rFonts w:ascii="Times New Roman" w:hAnsi="Times New Roman"/>
          <w:sz w:val="24"/>
          <w:szCs w:val="24"/>
        </w:rPr>
        <w:t xml:space="preserve"> пропозиції</w:t>
      </w:r>
      <w:r w:rsidR="00B67941" w:rsidRPr="008D34C6">
        <w:rPr>
          <w:rFonts w:ascii="Times New Roman" w:hAnsi="Times New Roman"/>
          <w:sz w:val="24"/>
          <w:szCs w:val="24"/>
        </w:rPr>
        <w:t xml:space="preserve"> </w:t>
      </w:r>
      <w:r w:rsidR="008D34C6" w:rsidRPr="008D34C6">
        <w:rPr>
          <w:rFonts w:ascii="Times New Roman" w:hAnsi="Times New Roman"/>
          <w:iCs/>
          <w:sz w:val="24"/>
          <w:szCs w:val="24"/>
        </w:rPr>
        <w:t>сертифікату відповідності</w:t>
      </w:r>
      <w:r w:rsidR="00B67941">
        <w:rPr>
          <w:rFonts w:ascii="Times New Roman" w:hAnsi="Times New Roman"/>
          <w:sz w:val="24"/>
          <w:szCs w:val="24"/>
        </w:rPr>
        <w:t>)</w:t>
      </w:r>
      <w:r w:rsidRPr="00DB0B9A">
        <w:rPr>
          <w:rFonts w:ascii="Times New Roman" w:hAnsi="Times New Roman"/>
          <w:sz w:val="24"/>
          <w:szCs w:val="24"/>
        </w:rPr>
        <w:t>;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>характеристики предмету закупівлі повинні відповідати вимогам чинних нормативно- правових актів щодо встановлення рівнів шкідливого та біологічного впливу на навколиш</w:t>
      </w:r>
      <w:r w:rsidR="008D34C6">
        <w:rPr>
          <w:rFonts w:ascii="Times New Roman" w:hAnsi="Times New Roman"/>
          <w:sz w:val="24"/>
          <w:szCs w:val="24"/>
        </w:rPr>
        <w:t>нє природне середовище і здоров</w:t>
      </w:r>
      <w:r w:rsidRPr="00DB0B9A">
        <w:rPr>
          <w:rFonts w:ascii="Times New Roman" w:hAnsi="Times New Roman"/>
          <w:sz w:val="24"/>
          <w:szCs w:val="24"/>
        </w:rPr>
        <w:t>’я людини;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>при виконанні замовлення Учасник дотримується правил протипожежної безпеки, санітарних норм, використовує якісні матеріали, машини, механізми та іншу техніку, які відповідають вимогам діючого природоохоронного законодавства.</w:t>
      </w:r>
    </w:p>
    <w:p w:rsidR="00DB0B9A" w:rsidRPr="00DB0B9A" w:rsidRDefault="006B76D6" w:rsidP="006B76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0B9A" w:rsidRPr="00DB0B9A">
        <w:rPr>
          <w:rFonts w:ascii="Times New Roman" w:hAnsi="Times New Roman"/>
          <w:sz w:val="24"/>
          <w:szCs w:val="24"/>
        </w:rPr>
        <w:t>У своїй діяльності Учасник реалізовує заходи із захисту довкілля спрямовані на (зокрема але не виключно):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 xml:space="preserve">передбачення необхідних заходів для мінімізації використання негативного впливу на довкілля, недопущення забруднення повітря, води, </w:t>
      </w:r>
      <w:r w:rsidR="008D34C6" w:rsidRPr="00DB0B9A">
        <w:rPr>
          <w:rFonts w:ascii="Times New Roman" w:hAnsi="Times New Roman"/>
          <w:sz w:val="24"/>
          <w:szCs w:val="24"/>
        </w:rPr>
        <w:t>ґрунтів</w:t>
      </w:r>
      <w:r w:rsidRPr="00DB0B9A">
        <w:rPr>
          <w:rFonts w:ascii="Times New Roman" w:hAnsi="Times New Roman"/>
          <w:sz w:val="24"/>
          <w:szCs w:val="24"/>
        </w:rPr>
        <w:t xml:space="preserve">, знищення рослинного покрову і </w:t>
      </w:r>
      <w:proofErr w:type="spellStart"/>
      <w:r w:rsidRPr="00DB0B9A">
        <w:rPr>
          <w:rFonts w:ascii="Times New Roman" w:hAnsi="Times New Roman"/>
          <w:sz w:val="24"/>
          <w:szCs w:val="24"/>
        </w:rPr>
        <w:t>т.д</w:t>
      </w:r>
      <w:proofErr w:type="spellEnd"/>
      <w:r w:rsidRPr="00DB0B9A">
        <w:rPr>
          <w:rFonts w:ascii="Times New Roman" w:hAnsi="Times New Roman"/>
          <w:sz w:val="24"/>
          <w:szCs w:val="24"/>
        </w:rPr>
        <w:t>.;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 xml:space="preserve">не допущення розливу нафтопродуктів, мастил та інших хімічних продуктів на </w:t>
      </w:r>
      <w:r w:rsidR="008D34C6" w:rsidRPr="00DB0B9A">
        <w:rPr>
          <w:rFonts w:ascii="Times New Roman" w:hAnsi="Times New Roman"/>
          <w:sz w:val="24"/>
          <w:szCs w:val="24"/>
        </w:rPr>
        <w:t>ґрунт</w:t>
      </w:r>
      <w:bookmarkStart w:id="1" w:name="_GoBack"/>
      <w:bookmarkEnd w:id="1"/>
      <w:r w:rsidRPr="00DB0B9A">
        <w:rPr>
          <w:rFonts w:ascii="Times New Roman" w:hAnsi="Times New Roman"/>
          <w:sz w:val="24"/>
          <w:szCs w:val="24"/>
        </w:rPr>
        <w:t xml:space="preserve"> чи інше покриття;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>не допу</w:t>
      </w:r>
      <w:r w:rsidR="006B76D6">
        <w:rPr>
          <w:rFonts w:ascii="Times New Roman" w:hAnsi="Times New Roman"/>
          <w:sz w:val="24"/>
          <w:szCs w:val="24"/>
        </w:rPr>
        <w:t>щ</w:t>
      </w:r>
      <w:r w:rsidRPr="00DB0B9A">
        <w:rPr>
          <w:rFonts w:ascii="Times New Roman" w:hAnsi="Times New Roman"/>
          <w:sz w:val="24"/>
          <w:szCs w:val="24"/>
        </w:rPr>
        <w:t>ення складування сміття у несанкціонованих місцях;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>застосування товарів, матеріалів, виробів, засобів чи конструкцій для виконання замовлення таких, що відповідають нормам безпеки, надійності, забезпечать як зменшення впливів на довкілля, так і сприятимуть створенню безпечніших і комфортніших умов життєдіяльності, зменшенню відходів, експлуатаційних витрат і запобігатимуть необхідності частих закупок;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>застосування екологічних матеріалів;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>забезпечення раціонального та ефективного використання природних ресурсів;</w:t>
      </w:r>
    </w:p>
    <w:p w:rsidR="00DB0B9A" w:rsidRPr="00DB0B9A" w:rsidRDefault="006B76D6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</w:t>
      </w:r>
      <w:r w:rsidR="00DB0B9A" w:rsidRPr="00DB0B9A">
        <w:rPr>
          <w:rFonts w:ascii="Times New Roman" w:hAnsi="Times New Roman"/>
          <w:sz w:val="24"/>
          <w:szCs w:val="24"/>
        </w:rPr>
        <w:t>’якшення негативного впливу на зміни клімату та адаптацію до змін клімату;</w:t>
      </w:r>
    </w:p>
    <w:p w:rsidR="00DB0B9A" w:rsidRP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 xml:space="preserve">захист об’єктів довкілля та </w:t>
      </w:r>
      <w:proofErr w:type="spellStart"/>
      <w:r w:rsidRPr="00DB0B9A">
        <w:rPr>
          <w:rFonts w:ascii="Times New Roman" w:hAnsi="Times New Roman"/>
          <w:sz w:val="24"/>
          <w:szCs w:val="24"/>
        </w:rPr>
        <w:t>біорізноманіття</w:t>
      </w:r>
      <w:proofErr w:type="spellEnd"/>
      <w:r w:rsidRPr="00DB0B9A">
        <w:rPr>
          <w:rFonts w:ascii="Times New Roman" w:hAnsi="Times New Roman"/>
          <w:sz w:val="24"/>
          <w:szCs w:val="24"/>
        </w:rPr>
        <w:t>;</w:t>
      </w:r>
    </w:p>
    <w:p w:rsidR="00DB0B9A" w:rsidRDefault="00DB0B9A" w:rsidP="00DB0B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B9A">
        <w:rPr>
          <w:rFonts w:ascii="Times New Roman" w:hAnsi="Times New Roman"/>
          <w:sz w:val="24"/>
          <w:szCs w:val="24"/>
        </w:rPr>
        <w:t>-</w:t>
      </w:r>
      <w:r w:rsidRPr="00DB0B9A">
        <w:rPr>
          <w:rFonts w:ascii="Times New Roman" w:hAnsi="Times New Roman"/>
          <w:sz w:val="24"/>
          <w:szCs w:val="24"/>
        </w:rPr>
        <w:tab/>
        <w:t>відновлення природного середовища, тощо.</w:t>
      </w:r>
    </w:p>
    <w:p w:rsidR="00DB0B9A" w:rsidRPr="00E56D83" w:rsidRDefault="00DB0B9A" w:rsidP="00DB0B9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DB0B9A" w:rsidRPr="00E5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E9C"/>
    <w:multiLevelType w:val="hybridMultilevel"/>
    <w:tmpl w:val="AAFC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A4216"/>
    <w:multiLevelType w:val="hybridMultilevel"/>
    <w:tmpl w:val="8584B548"/>
    <w:lvl w:ilvl="0" w:tplc="460EE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6C51"/>
    <w:multiLevelType w:val="multilevel"/>
    <w:tmpl w:val="469E7E4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caps w:val="0"/>
        <w:smallCaps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–"/>
      <w:lvlJc w:val="left"/>
      <w:pPr>
        <w:tabs>
          <w:tab w:val="num" w:pos="0"/>
        </w:tabs>
        <w:ind w:left="2160" w:firstLine="0"/>
      </w:pPr>
      <w:rPr>
        <w:rFonts w:ascii="Verdana" w:hAnsi="Verdana" w:cs="Verdana" w:hint="default"/>
        <w:b w:val="0"/>
        <w:caps w:val="0"/>
        <w:smallCaps w:val="0"/>
        <w:color w:val="000000"/>
        <w:position w:val="0"/>
        <w:sz w:val="20"/>
        <w:szCs w:val="20"/>
        <w:vertAlign w:val="baseline"/>
      </w:rPr>
    </w:lvl>
    <w:lvl w:ilvl="2">
      <w:numFmt w:val="bullet"/>
      <w:lvlText w:val="–"/>
      <w:lvlJc w:val="left"/>
      <w:pPr>
        <w:tabs>
          <w:tab w:val="num" w:pos="0"/>
        </w:tabs>
        <w:ind w:left="2880" w:firstLine="0"/>
      </w:pPr>
      <w:rPr>
        <w:rFonts w:ascii="Verdana" w:hAnsi="Verdana" w:cs="Verdana" w:hint="default"/>
        <w:b w:val="0"/>
        <w:caps w:val="0"/>
        <w:smallCaps w:val="0"/>
        <w:color w:val="000000"/>
        <w:position w:val="0"/>
        <w:sz w:val="20"/>
        <w:szCs w:val="20"/>
        <w:vertAlign w:val="baseline"/>
      </w:rPr>
    </w:lvl>
    <w:lvl w:ilvl="3">
      <w:numFmt w:val="bullet"/>
      <w:lvlText w:val="–"/>
      <w:lvlJc w:val="left"/>
      <w:pPr>
        <w:tabs>
          <w:tab w:val="num" w:pos="0"/>
        </w:tabs>
        <w:ind w:left="3600" w:firstLine="0"/>
      </w:pPr>
      <w:rPr>
        <w:rFonts w:ascii="Verdana" w:hAnsi="Verdana" w:cs="Verdana" w:hint="default"/>
        <w:b w:val="0"/>
        <w:caps w:val="0"/>
        <w:smallCaps w:val="0"/>
        <w:color w:val="000000"/>
        <w:position w:val="0"/>
        <w:sz w:val="20"/>
        <w:szCs w:val="20"/>
        <w:vertAlign w:val="baseline"/>
      </w:rPr>
    </w:lvl>
    <w:lvl w:ilvl="4">
      <w:numFmt w:val="bullet"/>
      <w:lvlText w:val="–"/>
      <w:lvlJc w:val="left"/>
      <w:pPr>
        <w:tabs>
          <w:tab w:val="num" w:pos="0"/>
        </w:tabs>
        <w:ind w:left="4320" w:firstLine="0"/>
      </w:pPr>
      <w:rPr>
        <w:rFonts w:ascii="Verdana" w:hAnsi="Verdana" w:cs="Verdana" w:hint="default"/>
        <w:b w:val="0"/>
        <w:caps w:val="0"/>
        <w:smallCaps w:val="0"/>
        <w:color w:val="000000"/>
        <w:position w:val="0"/>
        <w:sz w:val="20"/>
        <w:szCs w:val="20"/>
        <w:vertAlign w:val="baseline"/>
      </w:rPr>
    </w:lvl>
    <w:lvl w:ilvl="5">
      <w:numFmt w:val="bullet"/>
      <w:lvlText w:val="–"/>
      <w:lvlJc w:val="left"/>
      <w:pPr>
        <w:tabs>
          <w:tab w:val="num" w:pos="0"/>
        </w:tabs>
        <w:ind w:left="5040" w:firstLine="0"/>
      </w:pPr>
      <w:rPr>
        <w:rFonts w:ascii="Verdana" w:hAnsi="Verdana" w:cs="Verdana" w:hint="default"/>
        <w:b w:val="0"/>
        <w:caps w:val="0"/>
        <w:smallCaps w:val="0"/>
        <w:color w:val="000000"/>
        <w:position w:val="0"/>
        <w:sz w:val="20"/>
        <w:szCs w:val="20"/>
        <w:vertAlign w:val="baseline"/>
      </w:rPr>
    </w:lvl>
    <w:lvl w:ilvl="6">
      <w:numFmt w:val="bullet"/>
      <w:lvlText w:val="–"/>
      <w:lvlJc w:val="left"/>
      <w:pPr>
        <w:tabs>
          <w:tab w:val="num" w:pos="0"/>
        </w:tabs>
        <w:ind w:left="5760" w:firstLine="0"/>
      </w:pPr>
      <w:rPr>
        <w:rFonts w:ascii="Verdana" w:hAnsi="Verdana" w:cs="Verdana" w:hint="default"/>
        <w:b w:val="0"/>
        <w:caps w:val="0"/>
        <w:smallCaps w:val="0"/>
        <w:color w:val="000000"/>
        <w:position w:val="0"/>
        <w:sz w:val="20"/>
        <w:szCs w:val="20"/>
        <w:vertAlign w:val="baseline"/>
      </w:rPr>
    </w:lvl>
    <w:lvl w:ilvl="7">
      <w:numFmt w:val="bullet"/>
      <w:lvlText w:val="–"/>
      <w:lvlJc w:val="left"/>
      <w:pPr>
        <w:tabs>
          <w:tab w:val="num" w:pos="0"/>
        </w:tabs>
        <w:ind w:left="6480" w:firstLine="0"/>
      </w:pPr>
      <w:rPr>
        <w:rFonts w:ascii="Verdana" w:hAnsi="Verdana" w:cs="Verdana" w:hint="default"/>
        <w:b w:val="0"/>
        <w:caps w:val="0"/>
        <w:smallCaps w:val="0"/>
        <w:color w:val="000000"/>
        <w:position w:val="0"/>
        <w:sz w:val="20"/>
        <w:szCs w:val="20"/>
        <w:vertAlign w:val="baseline"/>
      </w:rPr>
    </w:lvl>
    <w:lvl w:ilvl="8">
      <w:numFmt w:val="bullet"/>
      <w:lvlText w:val="–"/>
      <w:lvlJc w:val="left"/>
      <w:pPr>
        <w:tabs>
          <w:tab w:val="num" w:pos="0"/>
        </w:tabs>
        <w:ind w:left="7200" w:firstLine="0"/>
      </w:pPr>
      <w:rPr>
        <w:rFonts w:ascii="Verdana" w:hAnsi="Verdana" w:cs="Verdana" w:hint="default"/>
        <w:b w:val="0"/>
        <w:caps w:val="0"/>
        <w:smallCaps w:val="0"/>
        <w:color w:val="000000"/>
        <w:position w:val="0"/>
        <w:sz w:val="20"/>
        <w:szCs w:val="20"/>
        <w:vertAlign w:val="baseline"/>
      </w:rPr>
    </w:lvl>
  </w:abstractNum>
  <w:abstractNum w:abstractNumId="3">
    <w:nsid w:val="6B294164"/>
    <w:multiLevelType w:val="multilevel"/>
    <w:tmpl w:val="AC12BC9E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" w:firstLine="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6"/>
    <w:rsid w:val="00285446"/>
    <w:rsid w:val="00314447"/>
    <w:rsid w:val="00351462"/>
    <w:rsid w:val="00366D66"/>
    <w:rsid w:val="00607D16"/>
    <w:rsid w:val="00635B40"/>
    <w:rsid w:val="006B76D6"/>
    <w:rsid w:val="00897CD0"/>
    <w:rsid w:val="008D34C6"/>
    <w:rsid w:val="00AC532C"/>
    <w:rsid w:val="00B67941"/>
    <w:rsid w:val="00DB0B9A"/>
    <w:rsid w:val="00E22B7A"/>
    <w:rsid w:val="00E56D83"/>
    <w:rsid w:val="00FA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6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5B4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4">
    <w:name w:val="Без интервала Знак"/>
    <w:link w:val="a3"/>
    <w:rsid w:val="00635B40"/>
    <w:rPr>
      <w:rFonts w:ascii="Calibri" w:eastAsia="Times New Roman" w:hAnsi="Calibri" w:cs="Times New Roman"/>
      <w:lang w:val="uk-UA"/>
    </w:rPr>
  </w:style>
  <w:style w:type="paragraph" w:styleId="a5">
    <w:name w:val="List Paragraph"/>
    <w:aliases w:val="Список уровня 2,название табл/рис,заголовок 1.1"/>
    <w:basedOn w:val="a"/>
    <w:link w:val="a6"/>
    <w:qFormat/>
    <w:rsid w:val="00AC532C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"/>
    <w:link w:val="a5"/>
    <w:locked/>
    <w:rsid w:val="00AC532C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6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5B4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4">
    <w:name w:val="Без интервала Знак"/>
    <w:link w:val="a3"/>
    <w:rsid w:val="00635B40"/>
    <w:rPr>
      <w:rFonts w:ascii="Calibri" w:eastAsia="Times New Roman" w:hAnsi="Calibri" w:cs="Times New Roman"/>
      <w:lang w:val="uk-UA"/>
    </w:rPr>
  </w:style>
  <w:style w:type="paragraph" w:styleId="a5">
    <w:name w:val="List Paragraph"/>
    <w:aliases w:val="Список уровня 2,название табл/рис,заголовок 1.1"/>
    <w:basedOn w:val="a"/>
    <w:link w:val="a6"/>
    <w:qFormat/>
    <w:rsid w:val="00AC532C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"/>
    <w:link w:val="a5"/>
    <w:locked/>
    <w:rsid w:val="00AC532C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s.signotec.com/signoPAD-API/Windows/signoPAD-API_8.5.2040_32Bit.e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2023-05-30T10:24:00Z</dcterms:created>
  <dcterms:modified xsi:type="dcterms:W3CDTF">2023-05-30T11:59:00Z</dcterms:modified>
</cp:coreProperties>
</file>