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0" w:rsidRPr="00E23C2A" w:rsidRDefault="00D80270" w:rsidP="00D80270">
      <w:pPr>
        <w:widowControl w:val="0"/>
        <w:ind w:left="5664" w:firstLine="708"/>
        <w:jc w:val="right"/>
        <w:rPr>
          <w:b/>
        </w:rPr>
      </w:pPr>
      <w:r w:rsidRPr="00E23C2A">
        <w:rPr>
          <w:b/>
        </w:rPr>
        <w:t>Додаток №6</w:t>
      </w:r>
    </w:p>
    <w:p w:rsidR="00D80270" w:rsidRPr="00E23C2A" w:rsidRDefault="00D80270" w:rsidP="00D80270">
      <w:pPr>
        <w:widowControl w:val="0"/>
        <w:ind w:left="5664" w:firstLine="708"/>
        <w:jc w:val="right"/>
        <w:rPr>
          <w:b/>
        </w:rPr>
      </w:pPr>
      <w:r w:rsidRPr="00E23C2A">
        <w:rPr>
          <w:b/>
        </w:rPr>
        <w:t>до тендерної документації</w:t>
      </w:r>
    </w:p>
    <w:p w:rsidR="00D80270" w:rsidRPr="004F1290" w:rsidRDefault="00D80270" w:rsidP="00D80270">
      <w:pPr>
        <w:widowControl w:val="0"/>
        <w:ind w:left="5664" w:firstLine="708"/>
      </w:pPr>
    </w:p>
    <w:p w:rsidR="00D80270" w:rsidRPr="004F1290" w:rsidRDefault="00D80270" w:rsidP="00D80270">
      <w:pPr>
        <w:jc w:val="center"/>
        <w:rPr>
          <w:b/>
        </w:rPr>
      </w:pPr>
      <w:r w:rsidRPr="004F1290">
        <w:rPr>
          <w:b/>
        </w:rPr>
        <w:t>ТЕХНІЧНЕ ЗАВДАННЯ</w:t>
      </w:r>
    </w:p>
    <w:p w:rsidR="00D80270" w:rsidRPr="004F1290" w:rsidRDefault="00D80270" w:rsidP="00D80270">
      <w:pPr>
        <w:jc w:val="center"/>
        <w:rPr>
          <w:b/>
        </w:rPr>
      </w:pPr>
      <w:r w:rsidRPr="004F1290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D80270" w:rsidRDefault="00D80270" w:rsidP="00D80270">
      <w:pPr>
        <w:jc w:val="center"/>
        <w:rPr>
          <w:b/>
          <w:shd w:val="clear" w:color="auto" w:fill="FFFFFF"/>
        </w:rPr>
      </w:pPr>
      <w:r w:rsidRPr="004F1290">
        <w:rPr>
          <w:b/>
          <w:bdr w:val="none" w:sz="0" w:space="0" w:color="auto" w:frame="1"/>
        </w:rPr>
        <w:t xml:space="preserve"> </w:t>
      </w:r>
      <w:r w:rsidRPr="004F1290">
        <w:rPr>
          <w:b/>
          <w:bCs/>
        </w:rPr>
        <w:t xml:space="preserve">ДК 021:2015 09210000-4  </w:t>
      </w:r>
      <w:hyperlink r:id="rId5" w:history="1">
        <w:r w:rsidRPr="004F1290">
          <w:rPr>
            <w:b/>
          </w:rPr>
          <w:t xml:space="preserve">Мастильні засоби </w:t>
        </w:r>
      </w:hyperlink>
      <w:r>
        <w:rPr>
          <w:b/>
          <w:shd w:val="clear" w:color="auto" w:fill="FFFFFF"/>
        </w:rPr>
        <w:t>(мастильні оливи та мастильні матеріали</w:t>
      </w:r>
      <w:r w:rsidRPr="004F1290">
        <w:rPr>
          <w:b/>
          <w:shd w:val="clear" w:color="auto" w:fill="FFFFFF"/>
        </w:rPr>
        <w:t>)</w:t>
      </w:r>
    </w:p>
    <w:p w:rsidR="00D80270" w:rsidRPr="004F1290" w:rsidRDefault="00D80270" w:rsidP="00D80270">
      <w:pPr>
        <w:jc w:val="center"/>
        <w:rPr>
          <w:b/>
        </w:rPr>
      </w:pPr>
    </w:p>
    <w:tbl>
      <w:tblPr>
        <w:tblW w:w="1050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726"/>
        <w:gridCol w:w="3600"/>
        <w:gridCol w:w="540"/>
        <w:gridCol w:w="944"/>
        <w:gridCol w:w="1576"/>
      </w:tblGrid>
      <w:tr w:rsidR="00D80270" w:rsidRPr="004F1290" w:rsidTr="008374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4F1290" w:rsidRDefault="00D80270" w:rsidP="008374BD">
            <w:pPr>
              <w:autoSpaceDN w:val="0"/>
              <w:snapToGrid w:val="0"/>
              <w:rPr>
                <w:b/>
                <w:kern w:val="3"/>
                <w:sz w:val="26"/>
                <w:szCs w:val="26"/>
              </w:rPr>
            </w:pPr>
            <w:r w:rsidRPr="004F1290">
              <w:rPr>
                <w:b/>
                <w:kern w:val="3"/>
                <w:sz w:val="26"/>
                <w:szCs w:val="26"/>
              </w:rPr>
              <w:t>№ п/</w:t>
            </w:r>
            <w:proofErr w:type="spellStart"/>
            <w:r w:rsidRPr="004F1290">
              <w:rPr>
                <w:b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70" w:rsidRPr="004F1290" w:rsidRDefault="00D80270" w:rsidP="008374BD">
            <w:pPr>
              <w:autoSpaceDN w:val="0"/>
              <w:snapToGrid w:val="0"/>
              <w:jc w:val="center"/>
              <w:rPr>
                <w:b/>
                <w:kern w:val="3"/>
              </w:rPr>
            </w:pPr>
            <w:r w:rsidRPr="004F1290">
              <w:rPr>
                <w:b/>
                <w:kern w:val="3"/>
              </w:rPr>
              <w:t xml:space="preserve">Найменування 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70" w:rsidRPr="004F1290" w:rsidRDefault="00D80270" w:rsidP="008374BD">
            <w:pPr>
              <w:autoSpaceDN w:val="0"/>
              <w:snapToGrid w:val="0"/>
              <w:jc w:val="center"/>
              <w:rPr>
                <w:b/>
                <w:kern w:val="3"/>
              </w:rPr>
            </w:pPr>
            <w:r w:rsidRPr="004F1290">
              <w:rPr>
                <w:b/>
                <w:kern w:val="3"/>
              </w:rPr>
              <w:t>Зміст інформації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70" w:rsidRPr="004F1290" w:rsidRDefault="00D80270" w:rsidP="008374BD">
            <w:pPr>
              <w:autoSpaceDN w:val="0"/>
              <w:snapToGrid w:val="0"/>
              <w:jc w:val="center"/>
              <w:rPr>
                <w:b/>
                <w:kern w:val="3"/>
                <w:sz w:val="26"/>
                <w:szCs w:val="26"/>
              </w:rPr>
            </w:pPr>
            <w:r w:rsidRPr="004F1290">
              <w:rPr>
                <w:b/>
                <w:kern w:val="3"/>
                <w:sz w:val="26"/>
                <w:szCs w:val="26"/>
              </w:rPr>
              <w:t xml:space="preserve">Примітка  </w:t>
            </w:r>
          </w:p>
        </w:tc>
      </w:tr>
      <w:tr w:rsidR="00D80270" w:rsidRPr="004F1290" w:rsidTr="008374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4F1290" w:rsidRDefault="00D80270" w:rsidP="008374BD">
            <w:pPr>
              <w:rPr>
                <w:i/>
                <w:kern w:val="3"/>
                <w:sz w:val="26"/>
                <w:szCs w:val="26"/>
              </w:rPr>
            </w:pPr>
            <w:r w:rsidRPr="004F1290">
              <w:rPr>
                <w:i/>
                <w:kern w:val="3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C189B" w:rsidRDefault="00D80270" w:rsidP="008374BD">
            <w:pPr>
              <w:autoSpaceDN w:val="0"/>
              <w:snapToGrid w:val="0"/>
              <w:rPr>
                <w:b/>
                <w:kern w:val="3"/>
              </w:rPr>
            </w:pPr>
            <w:r w:rsidRPr="006C189B">
              <w:rPr>
                <w:b/>
                <w:kern w:val="3"/>
                <w:shd w:val="clear" w:color="auto" w:fill="FFFFFF"/>
              </w:rPr>
              <w:t xml:space="preserve">Код за ДК </w:t>
            </w:r>
            <w:r w:rsidRPr="006C189B">
              <w:rPr>
                <w:b/>
                <w:kern w:val="3"/>
              </w:rPr>
              <w:t>021: 2015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Default="00D80270" w:rsidP="008374BD">
            <w:pPr>
              <w:jc w:val="center"/>
              <w:rPr>
                <w:b/>
                <w:shd w:val="clear" w:color="auto" w:fill="FFFFFF"/>
              </w:rPr>
            </w:pPr>
            <w:r w:rsidRPr="004F1290">
              <w:rPr>
                <w:b/>
                <w:bCs/>
              </w:rPr>
              <w:t xml:space="preserve">ДК 021:2015 09210000-4  </w:t>
            </w:r>
            <w:hyperlink r:id="rId6" w:history="1">
              <w:r w:rsidRPr="004F1290">
                <w:rPr>
                  <w:b/>
                </w:rPr>
                <w:t xml:space="preserve">Мастильні засоби </w:t>
              </w:r>
            </w:hyperlink>
            <w:r>
              <w:rPr>
                <w:b/>
                <w:shd w:val="clear" w:color="auto" w:fill="FFFFFF"/>
              </w:rPr>
              <w:t>(мастильні оливи та мастильні матеріали</w:t>
            </w:r>
            <w:r w:rsidRPr="004F1290">
              <w:rPr>
                <w:b/>
                <w:shd w:val="clear" w:color="auto" w:fill="FFFFFF"/>
              </w:rPr>
              <w:t>)</w:t>
            </w:r>
          </w:p>
          <w:p w:rsidR="00D80270" w:rsidRPr="0079199F" w:rsidRDefault="00D80270" w:rsidP="008374BD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4F1290" w:rsidRDefault="00D80270" w:rsidP="008374BD">
            <w:pPr>
              <w:autoSpaceDN w:val="0"/>
              <w:rPr>
                <w:kern w:val="3"/>
                <w:sz w:val="26"/>
                <w:szCs w:val="26"/>
              </w:rPr>
            </w:pPr>
          </w:p>
        </w:tc>
      </w:tr>
      <w:tr w:rsidR="00D80270" w:rsidRPr="004F1290" w:rsidTr="008374BD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autoSpaceDN w:val="0"/>
              <w:snapToGrid w:val="0"/>
              <w:rPr>
                <w:kern w:val="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E23C2A" w:rsidP="008374BD">
            <w:pPr>
              <w:widowControl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70" w:rsidRPr="00613B8F" w:rsidRDefault="00D80270" w:rsidP="008374BD">
            <w:pPr>
              <w:widowControl w:val="0"/>
              <w:outlineLvl w:val="0"/>
              <w:rPr>
                <w:b/>
                <w:bCs/>
              </w:rPr>
            </w:pPr>
            <w:r>
              <w:t>Масло  моторне</w:t>
            </w:r>
            <w:r w:rsidRPr="00613B8F">
              <w:t xml:space="preserve"> М10</w:t>
            </w:r>
            <w:r>
              <w:t>Г2К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70" w:rsidRPr="00613B8F" w:rsidRDefault="00D80270" w:rsidP="008374BD">
            <w:pPr>
              <w:widowControl w:val="0"/>
              <w:jc w:val="center"/>
              <w:outlineLvl w:val="0"/>
              <w:rPr>
                <w:bCs/>
              </w:rPr>
            </w:pPr>
            <w:r w:rsidRPr="00613B8F">
              <w:rPr>
                <w:bCs/>
              </w:rPr>
              <w:t>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270" w:rsidRDefault="00E23C2A" w:rsidP="008374BD">
            <w:pPr>
              <w:widowControl w:val="0"/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D80270" w:rsidRPr="00613B8F">
              <w:rPr>
                <w:bCs/>
              </w:rPr>
              <w:t>00</w:t>
            </w:r>
          </w:p>
          <w:p w:rsidR="00D80270" w:rsidRPr="00613B8F" w:rsidRDefault="00D80270" w:rsidP="008374BD">
            <w:pPr>
              <w:widowControl w:val="0"/>
              <w:jc w:val="center"/>
              <w:outlineLvl w:val="0"/>
              <w:rPr>
                <w:bCs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rPr>
                <w:color w:val="FF0000"/>
                <w:sz w:val="26"/>
                <w:szCs w:val="26"/>
              </w:rPr>
            </w:pPr>
          </w:p>
        </w:tc>
      </w:tr>
      <w:tr w:rsidR="00D80270" w:rsidRPr="004F1290" w:rsidTr="008374BD">
        <w:trPr>
          <w:trHeight w:val="2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autoSpaceDN w:val="0"/>
              <w:snapToGrid w:val="0"/>
              <w:rPr>
                <w:kern w:val="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E23C2A" w:rsidP="008374BD">
            <w:pPr>
              <w:widowControl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70" w:rsidRPr="00F91293" w:rsidRDefault="00D80270" w:rsidP="008374BD">
            <w:pPr>
              <w:widowControl w:val="0"/>
              <w:outlineLvl w:val="0"/>
              <w:rPr>
                <w:b/>
                <w:bCs/>
              </w:rPr>
            </w:pPr>
            <w:r>
              <w:t xml:space="preserve">Масло 2-х </w:t>
            </w:r>
            <w:proofErr w:type="spellStart"/>
            <w:r>
              <w:t>тактне</w:t>
            </w:r>
            <w:proofErr w:type="spellEnd"/>
            <w:r>
              <w:t xml:space="preserve">  «</w:t>
            </w:r>
            <w:proofErr w:type="spellStart"/>
            <w:r>
              <w:t>Дінамік</w:t>
            </w:r>
            <w:proofErr w:type="spellEnd"/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70" w:rsidRPr="00613B8F" w:rsidRDefault="00D80270" w:rsidP="008374BD">
            <w:pPr>
              <w:widowControl w:val="0"/>
              <w:jc w:val="center"/>
              <w:outlineLvl w:val="0"/>
              <w:rPr>
                <w:bCs/>
              </w:rPr>
            </w:pPr>
            <w:r w:rsidRPr="00613B8F">
              <w:rPr>
                <w:bCs/>
              </w:rPr>
              <w:t>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270" w:rsidRDefault="00E23C2A" w:rsidP="008374BD">
            <w:pPr>
              <w:widowControl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bookmarkStart w:id="0" w:name="_GoBack"/>
            <w:bookmarkEnd w:id="0"/>
            <w:r w:rsidR="00D80270">
              <w:rPr>
                <w:bCs/>
              </w:rPr>
              <w:t>0</w:t>
            </w:r>
          </w:p>
          <w:p w:rsidR="00D80270" w:rsidRPr="00613B8F" w:rsidRDefault="00D80270" w:rsidP="008374BD">
            <w:pPr>
              <w:widowControl w:val="0"/>
              <w:jc w:val="center"/>
              <w:outlineLvl w:val="0"/>
              <w:rPr>
                <w:bCs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70" w:rsidRPr="004F1290" w:rsidRDefault="00D80270" w:rsidP="008374BD">
            <w:pPr>
              <w:rPr>
                <w:color w:val="FF0000"/>
                <w:sz w:val="26"/>
                <w:szCs w:val="26"/>
              </w:rPr>
            </w:pPr>
          </w:p>
        </w:tc>
      </w:tr>
      <w:tr w:rsidR="00D80270" w:rsidRPr="001101C9" w:rsidTr="008374BD">
        <w:trPr>
          <w:trHeight w:val="2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0" w:rsidRPr="00613B8F" w:rsidRDefault="00D80270" w:rsidP="008374BD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autoSpaceDN w:val="0"/>
              <w:snapToGrid w:val="0"/>
              <w:rPr>
                <w:kern w:val="3"/>
                <w:shd w:val="clear" w:color="auto" w:fill="FFFFFF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jc w:val="both"/>
            </w:pPr>
            <w:r w:rsidRPr="00613B8F">
              <w:t>1.Оливи мастильні</w:t>
            </w:r>
            <w:r>
              <w:t xml:space="preserve"> та мастильні матеріали</w:t>
            </w:r>
            <w:r w:rsidRPr="00613B8F">
              <w:t xml:space="preserve"> повинні бути всесезонними.</w:t>
            </w:r>
          </w:p>
          <w:p w:rsidR="00D80270" w:rsidRPr="00613B8F" w:rsidRDefault="00D80270" w:rsidP="008374BD">
            <w:pPr>
              <w:jc w:val="both"/>
            </w:pPr>
            <w:r w:rsidRPr="00613B8F">
              <w:t>2.Оливи мастильні</w:t>
            </w:r>
            <w:r>
              <w:t xml:space="preserve"> та мастильні матеріали</w:t>
            </w:r>
            <w:r w:rsidRPr="00613B8F">
              <w:t xml:space="preserve"> повинні мати інструкцію фірми виробника по використанню, періодичністю їх заміни (надається за вимогою Замовника при поставці).</w:t>
            </w:r>
          </w:p>
          <w:p w:rsidR="00D80270" w:rsidRPr="00613B8F" w:rsidRDefault="00D80270" w:rsidP="008374BD">
            <w:pPr>
              <w:jc w:val="both"/>
            </w:pPr>
            <w:r w:rsidRPr="00613B8F">
              <w:t>3.Оливи мастильні</w:t>
            </w:r>
            <w:r>
              <w:t xml:space="preserve"> та мастильні матеріали</w:t>
            </w:r>
            <w:r w:rsidRPr="00613B8F">
              <w:t xml:space="preserve"> повинні бути виготовлені з первинних матеріалів, а не регенерованих.</w:t>
            </w:r>
          </w:p>
          <w:p w:rsidR="00D80270" w:rsidRPr="00613B8F" w:rsidRDefault="00D80270" w:rsidP="008374BD">
            <w:pPr>
              <w:jc w:val="both"/>
            </w:pPr>
            <w:r w:rsidRPr="00613B8F">
              <w:t>4.Оливи мастильні</w:t>
            </w:r>
            <w:r>
              <w:t xml:space="preserve"> та мастильні матеріали</w:t>
            </w:r>
            <w:r w:rsidRPr="00613B8F">
              <w:t xml:space="preserve"> повинні </w:t>
            </w:r>
            <w:r>
              <w:t xml:space="preserve">бути виготовлені не раніше </w:t>
            </w:r>
            <w:r w:rsidRPr="00613B8F">
              <w:t xml:space="preserve"> </w:t>
            </w:r>
            <w:r>
              <w:rPr>
                <w:b/>
              </w:rPr>
              <w:t>2022</w:t>
            </w:r>
            <w:r w:rsidRPr="00613B8F">
              <w:rPr>
                <w:b/>
              </w:rPr>
              <w:t xml:space="preserve"> року</w:t>
            </w:r>
            <w:r w:rsidRPr="00613B8F">
              <w:t xml:space="preserve"> та мати термін придатності для можливості використання товару протягом декількох років.</w:t>
            </w:r>
          </w:p>
          <w:p w:rsidR="00D80270" w:rsidRPr="00613B8F" w:rsidRDefault="00D80270" w:rsidP="008374BD">
            <w:pPr>
              <w:jc w:val="both"/>
            </w:pPr>
            <w:r w:rsidRPr="00613B8F">
              <w:t>5.Оливи мастильні</w:t>
            </w:r>
            <w:r>
              <w:t xml:space="preserve"> та мастильні матеріали</w:t>
            </w:r>
            <w:r w:rsidRPr="00613B8F">
              <w:t xml:space="preserve"> повинні мати сертифікат якості виробника і сертифікат відповідності стандартам України (надаються за вимогою Замовника при поставці).</w:t>
            </w:r>
          </w:p>
          <w:p w:rsidR="00D80270" w:rsidRPr="00613B8F" w:rsidRDefault="00D80270" w:rsidP="008374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13B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.Якість товару повинна відповідати вимогам відповідних діючих нормативних документів (ДСТУ, ТУ тощо). </w:t>
            </w:r>
          </w:p>
          <w:p w:rsidR="00D80270" w:rsidRPr="00366B5F" w:rsidRDefault="00D80270" w:rsidP="008374BD">
            <w:pPr>
              <w:widowControl w:val="0"/>
              <w:jc w:val="both"/>
            </w:pPr>
            <w:r w:rsidRPr="00366B5F">
              <w:t xml:space="preserve">7.При поставці товару в учасника повинні бути наявні документи, передбачені чинним законодавством України, які підтверджують відповідні якісні характеристики товару (сертифікати відповідності, паспорти якості тощо). </w:t>
            </w:r>
          </w:p>
          <w:p w:rsidR="00D80270" w:rsidRPr="00366B5F" w:rsidRDefault="00D80270" w:rsidP="008374BD">
            <w:pPr>
              <w:tabs>
                <w:tab w:val="left" w:pos="426"/>
              </w:tabs>
              <w:jc w:val="both"/>
              <w:rPr>
                <w:spacing w:val="-2"/>
              </w:rPr>
            </w:pPr>
            <w:r w:rsidRPr="00366B5F">
              <w:t>8.</w:t>
            </w:r>
            <w:r w:rsidRPr="00366B5F">
              <w:rPr>
                <w:lang w:eastAsia="en-US" w:bidi="en-US"/>
              </w:rPr>
              <w:t xml:space="preserve"> Ціна Товару включає витрати з транспортування до місця призначення та тара в якій постачається товар, страхування, навантаження, розвантаження, податків і зборів, необхідних платежів, що сплачуються або мають бути сплачені Продавцем, згідно із законодавством України, у тому числі які доручатимуться для виконання третім особам</w:t>
            </w:r>
            <w:r w:rsidRPr="00366B5F">
              <w:t>.</w:t>
            </w:r>
          </w:p>
          <w:p w:rsidR="00D80270" w:rsidRPr="00366B5F" w:rsidRDefault="00D80270" w:rsidP="008374BD">
            <w:pPr>
              <w:widowControl w:val="0"/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366B5F" w:rsidRDefault="00D80270" w:rsidP="008374BD"/>
        </w:tc>
      </w:tr>
      <w:tr w:rsidR="00D80270" w:rsidRPr="00613B8F" w:rsidTr="008374B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79199F" w:rsidRDefault="00D80270" w:rsidP="008374BD">
            <w:pPr>
              <w:autoSpaceDN w:val="0"/>
              <w:snapToGrid w:val="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autoSpaceDN w:val="0"/>
              <w:snapToGrid w:val="0"/>
              <w:rPr>
                <w:b/>
                <w:kern w:val="3"/>
                <w:shd w:val="clear" w:color="auto" w:fill="FFFFFF"/>
              </w:rPr>
            </w:pPr>
            <w:r w:rsidRPr="00613B8F">
              <w:rPr>
                <w:b/>
                <w:kern w:val="3"/>
                <w:shd w:val="clear" w:color="auto" w:fill="FFFFFF"/>
              </w:rPr>
              <w:t>Умови поставки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jc w:val="both"/>
            </w:pPr>
            <w:r w:rsidRPr="00613B8F">
              <w:t xml:space="preserve">Товар постачається </w:t>
            </w:r>
            <w:r w:rsidRPr="00613B8F">
              <w:rPr>
                <w:b/>
              </w:rPr>
              <w:t>Постачальником</w:t>
            </w:r>
            <w:r w:rsidRPr="00613B8F">
              <w:t xml:space="preserve"> </w:t>
            </w:r>
            <w:r w:rsidRPr="00613B8F">
              <w:rPr>
                <w:b/>
              </w:rPr>
              <w:t xml:space="preserve">дрібними частинами (партіями) </w:t>
            </w:r>
            <w:r w:rsidRPr="00613B8F">
              <w:t xml:space="preserve">за юридичною адресою </w:t>
            </w:r>
            <w:r w:rsidRPr="00613B8F">
              <w:lastRenderedPageBreak/>
              <w:t>Замовника</w:t>
            </w:r>
            <w:r>
              <w:t xml:space="preserve"> – </w:t>
            </w:r>
            <w:r w:rsidRPr="00D30458">
              <w:rPr>
                <w:b/>
              </w:rPr>
              <w:t xml:space="preserve">Хмельницька область, </w:t>
            </w:r>
            <w:r>
              <w:rPr>
                <w:b/>
              </w:rPr>
              <w:t xml:space="preserve">м. </w:t>
            </w:r>
            <w:proofErr w:type="spellStart"/>
            <w:r>
              <w:rPr>
                <w:b/>
              </w:rPr>
              <w:t>Старокостянтинів</w:t>
            </w:r>
            <w:proofErr w:type="spellEnd"/>
            <w:r>
              <w:rPr>
                <w:b/>
              </w:rPr>
              <w:t>, вул. Героїв Небесної Сотні, 1</w:t>
            </w:r>
            <w:r w:rsidRPr="00613B8F">
              <w:rPr>
                <w:b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/>
        </w:tc>
      </w:tr>
      <w:tr w:rsidR="00D80270" w:rsidRPr="00613B8F" w:rsidTr="008374B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79199F" w:rsidRDefault="00D80270" w:rsidP="008374BD">
            <w:pPr>
              <w:autoSpaceDN w:val="0"/>
              <w:snapToGrid w:val="0"/>
              <w:rPr>
                <w:kern w:val="3"/>
              </w:rPr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autoSpaceDN w:val="0"/>
              <w:snapToGrid w:val="0"/>
              <w:rPr>
                <w:b/>
                <w:kern w:val="3"/>
                <w:shd w:val="clear" w:color="auto" w:fill="FFFFFF"/>
              </w:rPr>
            </w:pPr>
            <w:r w:rsidRPr="00613B8F">
              <w:rPr>
                <w:b/>
                <w:kern w:val="3"/>
                <w:shd w:val="clear" w:color="auto" w:fill="FFFFFF"/>
              </w:rPr>
              <w:t>Документи, що підтверджують якість продукції;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jc w:val="both"/>
              <w:rPr>
                <w:bCs/>
              </w:rPr>
            </w:pPr>
            <w:r w:rsidRPr="00613B8F">
              <w:rPr>
                <w:rStyle w:val="11"/>
              </w:rPr>
              <w:t>Сертифікат відповідності та/або паспорт якості.</w:t>
            </w:r>
            <w:r w:rsidRPr="00613B8F">
              <w:t xml:space="preserve">(якщо їх наявність передбачена законодавством </w:t>
            </w:r>
            <w:r w:rsidRPr="00613B8F">
              <w:rPr>
                <w:b/>
                <w:i/>
              </w:rPr>
              <w:t>)(діючі на момент подання тендерної пропозиції).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/>
        </w:tc>
      </w:tr>
      <w:tr w:rsidR="00D80270" w:rsidRPr="00613B8F" w:rsidTr="008374B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79199F" w:rsidRDefault="00D80270" w:rsidP="008374BD">
            <w:pPr>
              <w:autoSpaceDN w:val="0"/>
              <w:snapToGrid w:val="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autoSpaceDN w:val="0"/>
              <w:snapToGrid w:val="0"/>
              <w:rPr>
                <w:b/>
                <w:kern w:val="3"/>
                <w:shd w:val="clear" w:color="auto" w:fill="FFFFFF"/>
              </w:rPr>
            </w:pPr>
            <w:r w:rsidRPr="00613B8F">
              <w:rPr>
                <w:b/>
                <w:kern w:val="3"/>
                <w:shd w:val="clear" w:color="auto" w:fill="FFFFFF"/>
              </w:rPr>
              <w:t>Умови розрахунків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" w:cs="Times New Roman"/>
                <w:bCs/>
                <w:lang w:val="uk-UA" w:eastAsia="ar-SA"/>
              </w:rPr>
            </w:pPr>
            <w:r w:rsidRPr="00613B8F">
              <w:rPr>
                <w:rFonts w:cs="Times New Roman"/>
                <w:lang w:val="uk-UA"/>
              </w:rPr>
              <w:t xml:space="preserve">Розрахунки за поставлений Товар (партію Товару) здійснюється шляхом перерахування коштів на розрахунковий рахунок Виконавця в національній валюті України </w:t>
            </w:r>
            <w:r>
              <w:rPr>
                <w:rFonts w:cs="Times New Roman"/>
                <w:b/>
                <w:lang w:val="uk-UA"/>
              </w:rPr>
              <w:t>протягом 3</w:t>
            </w:r>
            <w:r w:rsidRPr="00613B8F">
              <w:rPr>
                <w:rFonts w:cs="Times New Roman"/>
                <w:b/>
                <w:lang w:val="uk-UA"/>
              </w:rPr>
              <w:t>0 календарних днів</w:t>
            </w:r>
            <w:r w:rsidRPr="00613B8F">
              <w:rPr>
                <w:rFonts w:cs="Times New Roman"/>
                <w:lang w:val="uk-UA"/>
              </w:rPr>
              <w:t xml:space="preserve"> з дати підписання Сторонами відповідних видаткових накладних, на Товар (партію Товару, згідно заявок Покупця)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/>
        </w:tc>
      </w:tr>
      <w:tr w:rsidR="00D80270" w:rsidRPr="00613B8F" w:rsidTr="008374B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C506E7" w:rsidRDefault="00D80270" w:rsidP="008374BD">
            <w:pPr>
              <w:autoSpaceDN w:val="0"/>
              <w:snapToGrid w:val="0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autoSpaceDN w:val="0"/>
              <w:snapToGrid w:val="0"/>
              <w:rPr>
                <w:b/>
                <w:kern w:val="3"/>
                <w:shd w:val="clear" w:color="auto" w:fill="FFFFFF"/>
              </w:rPr>
            </w:pPr>
            <w:r w:rsidRPr="00613B8F">
              <w:rPr>
                <w:b/>
                <w:kern w:val="3"/>
                <w:shd w:val="clear" w:color="auto" w:fill="FFFFFF"/>
              </w:rPr>
              <w:t>Строк поставки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Times New Roman"/>
                <w:b/>
                <w:lang w:val="uk-UA"/>
              </w:rPr>
            </w:pPr>
            <w:r w:rsidRPr="00613B8F">
              <w:rPr>
                <w:rFonts w:cs="Times New Roman"/>
                <w:lang w:val="uk-UA"/>
              </w:rPr>
              <w:t xml:space="preserve">Протягом </w:t>
            </w:r>
            <w:r>
              <w:rPr>
                <w:rFonts w:cs="Times New Roman"/>
                <w:b/>
                <w:lang w:val="uk-UA"/>
              </w:rPr>
              <w:t>2023 року по 31.12.2023</w:t>
            </w:r>
            <w:r w:rsidRPr="00613B8F">
              <w:rPr>
                <w:rFonts w:cs="Times New Roman"/>
                <w:b/>
                <w:lang w:val="uk-UA"/>
              </w:rPr>
              <w:t xml:space="preserve"> року (</w:t>
            </w:r>
            <w:r w:rsidRPr="00613B8F">
              <w:rPr>
                <w:rFonts w:cs="Times New Roman"/>
                <w:lang w:val="uk-UA"/>
              </w:rPr>
              <w:t>згідно заявок Замовника)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70" w:rsidRPr="00613B8F" w:rsidRDefault="00D80270" w:rsidP="008374BD"/>
        </w:tc>
      </w:tr>
    </w:tbl>
    <w:p w:rsidR="00D80270" w:rsidRPr="00613B8F" w:rsidRDefault="00D80270" w:rsidP="00D80270">
      <w:pPr>
        <w:widowControl w:val="0"/>
        <w:tabs>
          <w:tab w:val="left" w:pos="0"/>
        </w:tabs>
        <w:autoSpaceDE w:val="0"/>
        <w:jc w:val="both"/>
        <w:rPr>
          <w:b/>
        </w:rPr>
      </w:pPr>
    </w:p>
    <w:p w:rsidR="00D80270" w:rsidRPr="00613B8F" w:rsidRDefault="00D80270" w:rsidP="00D80270">
      <w:pPr>
        <w:tabs>
          <w:tab w:val="left" w:pos="9000"/>
        </w:tabs>
        <w:jc w:val="both"/>
        <w:rPr>
          <w:b/>
        </w:rPr>
      </w:pPr>
      <w:r w:rsidRPr="00613B8F">
        <w:rPr>
          <w:b/>
        </w:rPr>
        <w:t>Ми гарантуємо здійснення поставки товару у встановлені строки та за визначеною кількістю протягом всього терміну дії договору</w:t>
      </w:r>
    </w:p>
    <w:p w:rsidR="00D80270" w:rsidRPr="00613B8F" w:rsidRDefault="00D80270" w:rsidP="00D80270">
      <w:pPr>
        <w:jc w:val="both"/>
        <w:outlineLvl w:val="0"/>
        <w:rPr>
          <w:noProof/>
        </w:rPr>
      </w:pPr>
    </w:p>
    <w:p w:rsidR="00D80270" w:rsidRPr="00613B8F" w:rsidRDefault="00D80270" w:rsidP="00D80270">
      <w:pPr>
        <w:jc w:val="both"/>
        <w:outlineLvl w:val="0"/>
        <w:rPr>
          <w:noProof/>
        </w:rPr>
      </w:pPr>
    </w:p>
    <w:p w:rsidR="00D80270" w:rsidRPr="00613B8F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D80270" w:rsidRPr="004F1290" w:rsidRDefault="00D80270" w:rsidP="00D80270">
      <w:pPr>
        <w:jc w:val="both"/>
        <w:outlineLvl w:val="0"/>
        <w:rPr>
          <w:noProof/>
        </w:rPr>
      </w:pPr>
    </w:p>
    <w:p w:rsidR="006C0994" w:rsidRDefault="00E23C2A"/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B"/>
    <w:rsid w:val="00024A1B"/>
    <w:rsid w:val="009A060A"/>
    <w:rsid w:val="00C81695"/>
    <w:rsid w:val="00D80270"/>
    <w:rsid w:val="00E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Chapter10 Char,Список уровня 2 Char,название табл/рис Char,Bullet Number Char,Bullet 1 Char,Use Case List Paragraph Char,lp1 Char,List Paragraph1 Char,lp11 Char,List Paragraph11 Char"/>
    <w:link w:val="1"/>
    <w:locked/>
    <w:rsid w:val="00D80270"/>
    <w:rPr>
      <w:rFonts w:ascii="Calibri" w:hAnsi="Calibri"/>
      <w:lang w:eastAsia="ru-RU"/>
    </w:rPr>
  </w:style>
  <w:style w:type="paragraph" w:customStyle="1" w:styleId="1">
    <w:name w:val="Абзац списка1"/>
    <w:aliases w:val="Chapter10,Список уровня 2,название табл/рис"/>
    <w:basedOn w:val="a"/>
    <w:link w:val="ListParagraphChar"/>
    <w:rsid w:val="00D8027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/>
    </w:rPr>
  </w:style>
  <w:style w:type="paragraph" w:styleId="a3">
    <w:name w:val="List Paragraph"/>
    <w:basedOn w:val="a"/>
    <w:qFormat/>
    <w:rsid w:val="00D80270"/>
    <w:pPr>
      <w:widowControl w:val="0"/>
      <w:suppressAutoHyphens/>
      <w:ind w:left="708"/>
    </w:pPr>
    <w:rPr>
      <w:rFonts w:eastAsia="Lucida Sans Unicode" w:cs="Tahoma"/>
      <w:color w:val="000000"/>
      <w:lang w:val="en-US" w:eastAsia="en-US" w:bidi="en-US"/>
    </w:rPr>
  </w:style>
  <w:style w:type="character" w:customStyle="1" w:styleId="11">
    <w:name w:val="Знак Знак11"/>
    <w:rsid w:val="00D80270"/>
    <w:rPr>
      <w:rFonts w:ascii="Times New Roman" w:eastAsia="Calibri" w:hAnsi="Times New Roman" w:cs="Times New Roman" w:hint="default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Chapter10 Char,Список уровня 2 Char,название табл/рис Char,Bullet Number Char,Bullet 1 Char,Use Case List Paragraph Char,lp1 Char,List Paragraph1 Char,lp11 Char,List Paragraph11 Char"/>
    <w:link w:val="1"/>
    <w:locked/>
    <w:rsid w:val="00D80270"/>
    <w:rPr>
      <w:rFonts w:ascii="Calibri" w:hAnsi="Calibri"/>
      <w:lang w:eastAsia="ru-RU"/>
    </w:rPr>
  </w:style>
  <w:style w:type="paragraph" w:customStyle="1" w:styleId="1">
    <w:name w:val="Абзац списка1"/>
    <w:aliases w:val="Chapter10,Список уровня 2,название табл/рис"/>
    <w:basedOn w:val="a"/>
    <w:link w:val="ListParagraphChar"/>
    <w:rsid w:val="00D8027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/>
    </w:rPr>
  </w:style>
  <w:style w:type="paragraph" w:styleId="a3">
    <w:name w:val="List Paragraph"/>
    <w:basedOn w:val="a"/>
    <w:qFormat/>
    <w:rsid w:val="00D80270"/>
    <w:pPr>
      <w:widowControl w:val="0"/>
      <w:suppressAutoHyphens/>
      <w:ind w:left="708"/>
    </w:pPr>
    <w:rPr>
      <w:rFonts w:eastAsia="Lucida Sans Unicode" w:cs="Tahoma"/>
      <w:color w:val="000000"/>
      <w:lang w:val="en-US" w:eastAsia="en-US" w:bidi="en-US"/>
    </w:rPr>
  </w:style>
  <w:style w:type="character" w:customStyle="1" w:styleId="11">
    <w:name w:val="Знак Знак11"/>
    <w:rsid w:val="00D80270"/>
    <w:rPr>
      <w:rFonts w:ascii="Times New Roman" w:eastAsia="Calibri" w:hAnsi="Times New Roman" w:cs="Times New Roman" w:hint="default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zakupki.prom.ua/cabinet/purchases/state_purchase/view/2100480" TargetMode="External"/><Relationship Id="rId5" Type="http://schemas.openxmlformats.org/officeDocument/2006/relationships/hyperlink" Target="https://my.zakupki.prom.ua/cabinet/purchases/state_purchase/view/2100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2023-11-22T09:37:00Z</dcterms:created>
  <dcterms:modified xsi:type="dcterms:W3CDTF">2023-11-22T12:36:00Z</dcterms:modified>
</cp:coreProperties>
</file>