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98" w:rsidRPr="00F86398" w:rsidRDefault="00F86398" w:rsidP="00F86398">
      <w:pPr>
        <w:spacing w:after="200" w:line="276" w:lineRule="auto"/>
        <w:jc w:val="right"/>
        <w:rPr>
          <w:rFonts w:ascii="Times New Roman" w:eastAsia="Calibri" w:hAnsi="Times New Roman" w:cs="Times New Roman"/>
          <w:b/>
        </w:rPr>
      </w:pPr>
      <w:r w:rsidRPr="00F86398">
        <w:rPr>
          <w:rFonts w:ascii="Times New Roman" w:eastAsia="Calibri" w:hAnsi="Times New Roman" w:cs="Times New Roman"/>
          <w:b/>
        </w:rPr>
        <w:t xml:space="preserve">ДОДАТОК </w:t>
      </w:r>
      <w:r w:rsidR="00D65F74">
        <w:rPr>
          <w:rFonts w:ascii="Times New Roman" w:eastAsia="Calibri" w:hAnsi="Times New Roman" w:cs="Times New Roman"/>
          <w:b/>
        </w:rPr>
        <w:t>2</w:t>
      </w:r>
      <w:r w:rsidRPr="00F86398">
        <w:rPr>
          <w:rFonts w:ascii="Times New Roman" w:eastAsia="Calibri" w:hAnsi="Times New Roman" w:cs="Times New Roman"/>
          <w:b/>
        </w:rPr>
        <w:t xml:space="preserve"> </w:t>
      </w:r>
    </w:p>
    <w:p w:rsidR="00D334CE" w:rsidRDefault="00F86398" w:rsidP="00F86398">
      <w:pPr>
        <w:spacing w:after="0" w:line="276" w:lineRule="auto"/>
        <w:jc w:val="center"/>
        <w:rPr>
          <w:rFonts w:ascii="Times New Roman" w:eastAsia="Calibri" w:hAnsi="Times New Roman" w:cs="Times New Roman"/>
          <w:b/>
        </w:rPr>
      </w:pPr>
      <w:r w:rsidRPr="00F86398">
        <w:rPr>
          <w:rFonts w:ascii="Times New Roman" w:eastAsia="Calibri" w:hAnsi="Times New Roman" w:cs="Times New Roman"/>
          <w:b/>
        </w:rPr>
        <w:t>ТЕХНІЧНІ, ЯКІСНІ  ТА КІЛЬКІСНІ ВИМОГИ ДО  ПРЕДМЕТУ ЗАКУПІВЛІ</w:t>
      </w:r>
      <w:r w:rsidR="009D665E">
        <w:rPr>
          <w:rFonts w:ascii="Times New Roman" w:eastAsia="Calibri" w:hAnsi="Times New Roman" w:cs="Times New Roman"/>
          <w:b/>
        </w:rPr>
        <w:t xml:space="preserve"> </w:t>
      </w:r>
    </w:p>
    <w:p w:rsidR="00F86398" w:rsidRPr="00F86398" w:rsidRDefault="009D665E" w:rsidP="00F86398">
      <w:pPr>
        <w:spacing w:after="0" w:line="276" w:lineRule="auto"/>
        <w:jc w:val="center"/>
        <w:rPr>
          <w:rFonts w:ascii="Times New Roman" w:eastAsia="Calibri" w:hAnsi="Times New Roman" w:cs="Times New Roman"/>
          <w:b/>
        </w:rPr>
      </w:pPr>
      <w:r>
        <w:rPr>
          <w:rFonts w:ascii="Times New Roman" w:eastAsia="Calibri" w:hAnsi="Times New Roman" w:cs="Times New Roman"/>
          <w:b/>
        </w:rPr>
        <w:t>«</w:t>
      </w:r>
      <w:r w:rsidR="007872BB">
        <w:rPr>
          <w:rFonts w:ascii="Times New Roman" w:eastAsia="Calibri" w:hAnsi="Times New Roman" w:cs="Times New Roman"/>
          <w:b/>
        </w:rPr>
        <w:t>ЩЕБІНЬ</w:t>
      </w:r>
      <w:r w:rsidR="00D334CE">
        <w:rPr>
          <w:rFonts w:ascii="Times New Roman" w:eastAsia="Calibri" w:hAnsi="Times New Roman" w:cs="Times New Roman"/>
          <w:b/>
        </w:rPr>
        <w:t xml:space="preserve"> </w:t>
      </w:r>
      <w:r w:rsidR="00D50CB1">
        <w:rPr>
          <w:rFonts w:ascii="Times New Roman" w:eastAsia="Calibri" w:hAnsi="Times New Roman" w:cs="Times New Roman"/>
          <w:b/>
        </w:rPr>
        <w:t xml:space="preserve">ГРАНІТНИЙ </w:t>
      </w:r>
      <w:r w:rsidR="00D334CE">
        <w:rPr>
          <w:rFonts w:ascii="Times New Roman" w:eastAsia="Calibri" w:hAnsi="Times New Roman" w:cs="Times New Roman"/>
          <w:b/>
        </w:rPr>
        <w:t>(фр. 5х20)</w:t>
      </w:r>
      <w:r>
        <w:rPr>
          <w:rFonts w:ascii="Times New Roman" w:eastAsia="Calibri" w:hAnsi="Times New Roman" w:cs="Times New Roman"/>
          <w:b/>
        </w:rPr>
        <w:t>»</w:t>
      </w:r>
    </w:p>
    <w:p w:rsidR="00F86398" w:rsidRPr="00F86398" w:rsidRDefault="00F86398" w:rsidP="00F8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lang w:eastAsia="ru-RU"/>
        </w:rPr>
      </w:pPr>
      <w:r w:rsidRPr="00F86398">
        <w:rPr>
          <w:rFonts w:ascii="Times New Roman" w:eastAsia="Times New Roman" w:hAnsi="Times New Roman" w:cs="Times New Roman"/>
          <w:b/>
          <w:bCs/>
          <w:lang w:eastAsia="ru-RU"/>
        </w:rPr>
        <w:t>ДК 021-2015:14210000-6. Гравій, пісок, щебінь і наповнювачі. Щебінь.</w:t>
      </w:r>
    </w:p>
    <w:p w:rsidR="00F86398" w:rsidRPr="00F86398" w:rsidRDefault="00F86398" w:rsidP="00F86398">
      <w:pPr>
        <w:spacing w:after="0" w:line="276" w:lineRule="auto"/>
        <w:jc w:val="center"/>
        <w:rPr>
          <w:rFonts w:ascii="Times New Roman" w:eastAsia="Calibri" w:hAnsi="Times New Roman" w:cs="Times New Roman"/>
          <w:b/>
        </w:rPr>
      </w:pPr>
    </w:p>
    <w:p w:rsidR="00F86398" w:rsidRPr="00F86398" w:rsidRDefault="00F86398" w:rsidP="00F86398">
      <w:pPr>
        <w:spacing w:after="0" w:line="276" w:lineRule="auto"/>
        <w:jc w:val="both"/>
        <w:rPr>
          <w:rFonts w:ascii="Times New Roman" w:eastAsia="Calibri" w:hAnsi="Times New Roman" w:cs="Times New Roman"/>
        </w:rPr>
      </w:pPr>
      <w:r w:rsidRPr="00F86398">
        <w:rPr>
          <w:rFonts w:ascii="Times New Roman" w:eastAsia="Calibri" w:hAnsi="Times New Roman" w:cs="Times New Roman"/>
        </w:rPr>
        <w:t xml:space="preserve">   </w:t>
      </w:r>
    </w:p>
    <w:p w:rsidR="00F86398" w:rsidRPr="00F86398" w:rsidRDefault="00F86398" w:rsidP="00F86398">
      <w:pPr>
        <w:widowControl w:val="0"/>
        <w:autoSpaceDE w:val="0"/>
        <w:autoSpaceDN w:val="0"/>
        <w:adjustRightInd w:val="0"/>
        <w:spacing w:after="0" w:line="240" w:lineRule="auto"/>
        <w:ind w:left="-298"/>
        <w:rPr>
          <w:rFonts w:ascii="Times New Roman" w:eastAsia="Times New Roman" w:hAnsi="Times New Roman" w:cs="Times New Roman"/>
          <w:bCs/>
          <w:iCs/>
          <w:lang w:eastAsia="ru-RU"/>
        </w:rPr>
      </w:pPr>
      <w:r w:rsidRPr="00F86398">
        <w:rPr>
          <w:rFonts w:ascii="Times New Roman" w:eastAsia="Times New Roman" w:hAnsi="Times New Roman" w:cs="Times New Roman"/>
          <w:bCs/>
          <w:iCs/>
          <w:lang w:eastAsia="ru-RU"/>
        </w:rPr>
        <w:t xml:space="preserve">                                         </w:t>
      </w:r>
    </w:p>
    <w:p w:rsidR="001B4DB8" w:rsidRDefault="00F86398" w:rsidP="00F86398">
      <w:pPr>
        <w:rPr>
          <w:rFonts w:ascii="Times New Roman" w:eastAsia="Calibri" w:hAnsi="Times New Roman" w:cs="Times New Roman"/>
          <w:b/>
        </w:rPr>
      </w:pPr>
      <w:r w:rsidRPr="00F86398">
        <w:rPr>
          <w:rFonts w:ascii="Times New Roman" w:eastAsia="Calibri" w:hAnsi="Times New Roman" w:cs="Times New Roman"/>
          <w:b/>
        </w:rPr>
        <w:t xml:space="preserve">                       </w:t>
      </w:r>
    </w:p>
    <w:tbl>
      <w:tblPr>
        <w:tblStyle w:val="a3"/>
        <w:tblW w:w="0" w:type="auto"/>
        <w:jc w:val="right"/>
        <w:tblLook w:val="04A0" w:firstRow="1" w:lastRow="0" w:firstColumn="1" w:lastColumn="0" w:noHBand="0" w:noVBand="1"/>
      </w:tblPr>
      <w:tblGrid>
        <w:gridCol w:w="561"/>
        <w:gridCol w:w="1719"/>
        <w:gridCol w:w="3505"/>
        <w:gridCol w:w="1922"/>
        <w:gridCol w:w="1922"/>
      </w:tblGrid>
      <w:tr w:rsidR="009D665E" w:rsidTr="007872BB">
        <w:trPr>
          <w:jc w:val="right"/>
        </w:trPr>
        <w:tc>
          <w:tcPr>
            <w:tcW w:w="561" w:type="dxa"/>
          </w:tcPr>
          <w:p w:rsidR="009D665E" w:rsidRPr="009D665E" w:rsidRDefault="009D665E" w:rsidP="009D665E">
            <w:pPr>
              <w:rPr>
                <w:rFonts w:ascii="Times New Roman" w:hAnsi="Times New Roman" w:cs="Times New Roman"/>
                <w:sz w:val="24"/>
                <w:szCs w:val="24"/>
              </w:rPr>
            </w:pPr>
            <w:r w:rsidRPr="009D665E">
              <w:rPr>
                <w:rFonts w:ascii="Times New Roman" w:hAnsi="Times New Roman" w:cs="Times New Roman"/>
                <w:color w:val="000000"/>
                <w:sz w:val="24"/>
                <w:szCs w:val="24"/>
              </w:rPr>
              <w:t xml:space="preserve">№ </w:t>
            </w:r>
          </w:p>
        </w:tc>
        <w:tc>
          <w:tcPr>
            <w:tcW w:w="1719" w:type="dxa"/>
          </w:tcPr>
          <w:p w:rsidR="009D665E" w:rsidRPr="009D665E" w:rsidRDefault="009D665E" w:rsidP="00F86398">
            <w:pPr>
              <w:rPr>
                <w:rFonts w:ascii="Times New Roman" w:hAnsi="Times New Roman" w:cs="Times New Roman"/>
                <w:sz w:val="24"/>
                <w:szCs w:val="24"/>
              </w:rPr>
            </w:pPr>
            <w:r w:rsidRPr="009D665E">
              <w:rPr>
                <w:rFonts w:ascii="Times New Roman" w:hAnsi="Times New Roman" w:cs="Times New Roman"/>
                <w:sz w:val="24"/>
                <w:szCs w:val="24"/>
              </w:rPr>
              <w:t>Найменування товару</w:t>
            </w:r>
          </w:p>
        </w:tc>
        <w:tc>
          <w:tcPr>
            <w:tcW w:w="3505" w:type="dxa"/>
          </w:tcPr>
          <w:p w:rsidR="009D665E" w:rsidRPr="009D665E" w:rsidRDefault="009D665E" w:rsidP="00F86398">
            <w:pPr>
              <w:rPr>
                <w:rFonts w:ascii="Times New Roman" w:hAnsi="Times New Roman" w:cs="Times New Roman"/>
                <w:sz w:val="24"/>
                <w:szCs w:val="24"/>
              </w:rPr>
            </w:pPr>
            <w:r w:rsidRPr="009D665E">
              <w:rPr>
                <w:rFonts w:ascii="Times New Roman" w:hAnsi="Times New Roman" w:cs="Times New Roman"/>
                <w:sz w:val="24"/>
                <w:szCs w:val="24"/>
              </w:rPr>
              <w:t>Тип, марка, ДСТУ, ГОСТ, ОСТ, ТУ, додаткові технічні характеристики та інша інформація</w:t>
            </w:r>
          </w:p>
        </w:tc>
        <w:tc>
          <w:tcPr>
            <w:tcW w:w="1922" w:type="dxa"/>
          </w:tcPr>
          <w:p w:rsidR="009D665E" w:rsidRPr="009D665E" w:rsidRDefault="009D665E" w:rsidP="00F86398">
            <w:pPr>
              <w:rPr>
                <w:rFonts w:ascii="Times New Roman" w:hAnsi="Times New Roman" w:cs="Times New Roman"/>
                <w:sz w:val="24"/>
                <w:szCs w:val="24"/>
              </w:rPr>
            </w:pPr>
            <w:r w:rsidRPr="009D665E">
              <w:rPr>
                <w:rFonts w:ascii="Times New Roman" w:hAnsi="Times New Roman" w:cs="Times New Roman"/>
                <w:sz w:val="24"/>
                <w:szCs w:val="24"/>
              </w:rPr>
              <w:t>Одиниця виміру</w:t>
            </w:r>
          </w:p>
        </w:tc>
        <w:tc>
          <w:tcPr>
            <w:tcW w:w="1922" w:type="dxa"/>
          </w:tcPr>
          <w:p w:rsidR="009D665E" w:rsidRPr="009D665E" w:rsidRDefault="009D665E" w:rsidP="00F86398">
            <w:pPr>
              <w:rPr>
                <w:rFonts w:ascii="Times New Roman" w:hAnsi="Times New Roman" w:cs="Times New Roman"/>
                <w:sz w:val="24"/>
                <w:szCs w:val="24"/>
              </w:rPr>
            </w:pPr>
            <w:r w:rsidRPr="009D665E">
              <w:rPr>
                <w:rFonts w:ascii="Times New Roman" w:hAnsi="Times New Roman" w:cs="Times New Roman"/>
                <w:sz w:val="24"/>
                <w:szCs w:val="24"/>
              </w:rPr>
              <w:t>Кількість</w:t>
            </w:r>
          </w:p>
        </w:tc>
      </w:tr>
      <w:tr w:rsidR="009D665E" w:rsidTr="00133EEC">
        <w:trPr>
          <w:jc w:val="right"/>
        </w:trPr>
        <w:tc>
          <w:tcPr>
            <w:tcW w:w="561" w:type="dxa"/>
            <w:vAlign w:val="center"/>
          </w:tcPr>
          <w:p w:rsidR="009D665E" w:rsidRDefault="007872BB" w:rsidP="00F86398">
            <w:r>
              <w:t xml:space="preserve"> 1</w:t>
            </w:r>
          </w:p>
        </w:tc>
        <w:tc>
          <w:tcPr>
            <w:tcW w:w="1719" w:type="dxa"/>
            <w:vAlign w:val="center"/>
          </w:tcPr>
          <w:p w:rsidR="00D50CB1" w:rsidRDefault="007872BB" w:rsidP="00F86398">
            <w:pPr>
              <w:rPr>
                <w:rFonts w:ascii="Times New Roman" w:hAnsi="Times New Roman" w:cs="Times New Roman"/>
                <w:sz w:val="24"/>
                <w:szCs w:val="24"/>
              </w:rPr>
            </w:pPr>
            <w:r>
              <w:rPr>
                <w:rFonts w:ascii="Times New Roman" w:hAnsi="Times New Roman" w:cs="Times New Roman"/>
                <w:sz w:val="24"/>
                <w:szCs w:val="24"/>
              </w:rPr>
              <w:t xml:space="preserve">   </w:t>
            </w:r>
            <w:r w:rsidRPr="007872BB">
              <w:rPr>
                <w:rFonts w:ascii="Times New Roman" w:hAnsi="Times New Roman" w:cs="Times New Roman"/>
                <w:sz w:val="24"/>
                <w:szCs w:val="24"/>
              </w:rPr>
              <w:t>Щебінь</w:t>
            </w:r>
            <w:r w:rsidR="00D50CB1">
              <w:rPr>
                <w:rFonts w:ascii="Times New Roman" w:hAnsi="Times New Roman" w:cs="Times New Roman"/>
                <w:sz w:val="24"/>
                <w:szCs w:val="24"/>
              </w:rPr>
              <w:t xml:space="preserve"> гранітний </w:t>
            </w:r>
          </w:p>
          <w:p w:rsidR="009D665E" w:rsidRPr="007872BB" w:rsidRDefault="00D50CB1" w:rsidP="00F86398">
            <w:pPr>
              <w:rPr>
                <w:rFonts w:ascii="Times New Roman" w:hAnsi="Times New Roman" w:cs="Times New Roman"/>
                <w:sz w:val="24"/>
                <w:szCs w:val="24"/>
              </w:rPr>
            </w:pPr>
            <w:bookmarkStart w:id="0" w:name="_GoBack"/>
            <w:bookmarkEnd w:id="0"/>
            <w:r>
              <w:rPr>
                <w:rFonts w:ascii="Times New Roman" w:hAnsi="Times New Roman" w:cs="Times New Roman"/>
                <w:sz w:val="24"/>
                <w:szCs w:val="24"/>
              </w:rPr>
              <w:t>(фр. 5х20)</w:t>
            </w:r>
          </w:p>
        </w:tc>
        <w:tc>
          <w:tcPr>
            <w:tcW w:w="3505" w:type="dxa"/>
          </w:tcPr>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ДСТУ Б В.2.7-75:98 </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 -крупні заповнювачі повинні мати середню густину від 2000 до 2800 кг/м3; </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-вміст пиловидних і глинистих часток у щебені 1% по масі; </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-вміст глини не повинен перевищувати – 0,25 %; </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-вміст зерен пластинчастої (лещадної) та голчастої форм в крупному заповнювачі не повинен перевищувати 25% по масі;</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 -вміст зерен слабких порід у щебені з природного каменю не повинен перевищувати, по масі 5%; </w:t>
            </w:r>
          </w:p>
          <w:p w:rsid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 xml:space="preserve">-марка за стиранністю Ст-І - СтІV; </w:t>
            </w:r>
          </w:p>
          <w:p w:rsidR="009D665E" w:rsidRPr="009D665E" w:rsidRDefault="009D665E" w:rsidP="009D665E">
            <w:pPr>
              <w:rPr>
                <w:rFonts w:ascii="Times New Roman" w:hAnsi="Times New Roman" w:cs="Times New Roman"/>
                <w:sz w:val="24"/>
                <w:szCs w:val="24"/>
              </w:rPr>
            </w:pPr>
            <w:r w:rsidRPr="009D665E">
              <w:rPr>
                <w:rFonts w:ascii="Times New Roman" w:hAnsi="Times New Roman" w:cs="Times New Roman"/>
                <w:sz w:val="24"/>
                <w:szCs w:val="24"/>
              </w:rPr>
              <w:t>-клас щебеню сумарної питомої активності природних радіонуклідів – І.</w:t>
            </w:r>
          </w:p>
        </w:tc>
        <w:tc>
          <w:tcPr>
            <w:tcW w:w="1922" w:type="dxa"/>
            <w:vAlign w:val="center"/>
          </w:tcPr>
          <w:p w:rsidR="009D665E" w:rsidRPr="007872BB" w:rsidRDefault="007872BB" w:rsidP="00F86398">
            <w:pPr>
              <w:rPr>
                <w:rFonts w:ascii="Times New Roman" w:hAnsi="Times New Roman" w:cs="Times New Roman"/>
                <w:sz w:val="24"/>
                <w:szCs w:val="24"/>
              </w:rPr>
            </w:pPr>
            <w:r w:rsidRPr="007872BB">
              <w:rPr>
                <w:rFonts w:ascii="Times New Roman" w:hAnsi="Times New Roman" w:cs="Times New Roman"/>
                <w:sz w:val="24"/>
                <w:szCs w:val="24"/>
              </w:rPr>
              <w:t xml:space="preserve">                 т</w:t>
            </w:r>
          </w:p>
        </w:tc>
        <w:tc>
          <w:tcPr>
            <w:tcW w:w="1922" w:type="dxa"/>
            <w:vAlign w:val="center"/>
          </w:tcPr>
          <w:p w:rsidR="009D665E" w:rsidRDefault="00133EEC" w:rsidP="00F86398">
            <w:r>
              <w:t xml:space="preserve">              2152</w:t>
            </w:r>
          </w:p>
        </w:tc>
      </w:tr>
    </w:tbl>
    <w:p w:rsidR="009D665E" w:rsidRPr="007872BB" w:rsidRDefault="009D665E" w:rsidP="009D665E">
      <w:pPr>
        <w:spacing w:after="0"/>
        <w:jc w:val="center"/>
        <w:rPr>
          <w:rFonts w:ascii="Times New Roman" w:hAnsi="Times New Roman" w:cs="Times New Roman"/>
          <w:b/>
          <w:sz w:val="24"/>
          <w:szCs w:val="24"/>
        </w:rPr>
      </w:pPr>
      <w:r w:rsidRPr="007872BB">
        <w:rPr>
          <w:rFonts w:ascii="Times New Roman" w:hAnsi="Times New Roman" w:cs="Times New Roman"/>
          <w:b/>
          <w:sz w:val="24"/>
          <w:szCs w:val="24"/>
        </w:rPr>
        <w:t>2. Загальні вимоги до предмета закупівлі</w:t>
      </w:r>
    </w:p>
    <w:p w:rsidR="009D665E" w:rsidRPr="009D665E" w:rsidRDefault="009D665E" w:rsidP="009D665E">
      <w:pPr>
        <w:spacing w:after="0"/>
        <w:jc w:val="both"/>
        <w:rPr>
          <w:rFonts w:ascii="Times New Roman" w:hAnsi="Times New Roman" w:cs="Times New Roman"/>
          <w:sz w:val="24"/>
          <w:szCs w:val="24"/>
        </w:rPr>
      </w:pP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2.1. Товар, який становить предмет закупівлі, повинен бути якісним та відповідати нормам, характеристикам, правилам тощо, технічним вимогам, умовам, встановленим чинним законодавством України, з врахуванням застосування заходів із захисту довкілля.</w:t>
      </w: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2.2. Якість Товару повинна відповідати вимогам, зазначеним у цьому додатку до тендерної документації або бути кращою, згідно Держстандартів та технічних умов,</w:t>
      </w:r>
      <w:r>
        <w:rPr>
          <w:rFonts w:ascii="Times New Roman" w:hAnsi="Times New Roman" w:cs="Times New Roman"/>
          <w:sz w:val="24"/>
          <w:szCs w:val="24"/>
        </w:rPr>
        <w:t xml:space="preserve"> </w:t>
      </w:r>
      <w:r w:rsidRPr="009D665E">
        <w:rPr>
          <w:rFonts w:ascii="Times New Roman" w:hAnsi="Times New Roman" w:cs="Times New Roman"/>
          <w:sz w:val="24"/>
          <w:szCs w:val="24"/>
        </w:rPr>
        <w:t>встановлених для кожн</w:t>
      </w:r>
      <w:r w:rsidR="00133EEC">
        <w:rPr>
          <w:rFonts w:ascii="Times New Roman" w:hAnsi="Times New Roman" w:cs="Times New Roman"/>
          <w:sz w:val="24"/>
          <w:szCs w:val="24"/>
        </w:rPr>
        <w:t>ого виду Товару і підтверджена С</w:t>
      </w:r>
      <w:r w:rsidRPr="009D665E">
        <w:rPr>
          <w:rFonts w:ascii="Times New Roman" w:hAnsi="Times New Roman" w:cs="Times New Roman"/>
          <w:sz w:val="24"/>
          <w:szCs w:val="24"/>
        </w:rPr>
        <w:t xml:space="preserve">ертифікатом відповідності </w:t>
      </w:r>
      <w:r w:rsidR="007872BB">
        <w:rPr>
          <w:rFonts w:ascii="Times New Roman" w:hAnsi="Times New Roman" w:cs="Times New Roman"/>
          <w:sz w:val="24"/>
          <w:szCs w:val="24"/>
        </w:rPr>
        <w:t>ДСТУ Б В.2.7-75-9</w:t>
      </w:r>
      <w:r w:rsidR="007872BB" w:rsidRPr="007872BB">
        <w:rPr>
          <w:rFonts w:ascii="Times New Roman" w:hAnsi="Times New Roman" w:cs="Times New Roman"/>
          <w:sz w:val="24"/>
          <w:szCs w:val="24"/>
        </w:rPr>
        <w:t>8</w:t>
      </w:r>
      <w:r w:rsidR="007872BB">
        <w:rPr>
          <w:rFonts w:ascii="Times New Roman" w:hAnsi="Times New Roman" w:cs="Times New Roman"/>
          <w:sz w:val="24"/>
          <w:szCs w:val="24"/>
        </w:rPr>
        <w:t xml:space="preserve"> </w:t>
      </w:r>
      <w:r w:rsidR="007872BB" w:rsidRPr="007872BB">
        <w:rPr>
          <w:rFonts w:ascii="Times New Roman" w:hAnsi="Times New Roman" w:cs="Times New Roman"/>
          <w:sz w:val="24"/>
          <w:szCs w:val="24"/>
        </w:rPr>
        <w:t>Щебінь і гравій щільні природні для будівельних матеріалів, виробів, конструкцій і робіт</w:t>
      </w:r>
      <w:r w:rsidR="007872BB">
        <w:rPr>
          <w:rFonts w:ascii="Times New Roman" w:hAnsi="Times New Roman" w:cs="Times New Roman"/>
          <w:sz w:val="24"/>
          <w:szCs w:val="24"/>
        </w:rPr>
        <w:t xml:space="preserve"> т</w:t>
      </w:r>
      <w:r w:rsidRPr="009D665E">
        <w:rPr>
          <w:rFonts w:ascii="Times New Roman" w:hAnsi="Times New Roman" w:cs="Times New Roman"/>
          <w:sz w:val="24"/>
          <w:szCs w:val="24"/>
        </w:rPr>
        <w:t>а</w:t>
      </w:r>
      <w:r w:rsidR="007872BB">
        <w:rPr>
          <w:rFonts w:ascii="Times New Roman" w:hAnsi="Times New Roman" w:cs="Times New Roman"/>
          <w:sz w:val="24"/>
          <w:szCs w:val="24"/>
        </w:rPr>
        <w:t xml:space="preserve"> радіаційним сертифікатом</w:t>
      </w:r>
      <w:r w:rsidRPr="009D665E">
        <w:rPr>
          <w:rFonts w:ascii="Times New Roman" w:hAnsi="Times New Roman" w:cs="Times New Roman"/>
          <w:sz w:val="24"/>
          <w:szCs w:val="24"/>
        </w:rPr>
        <w:t>. На підтвердження даної вимоги Учасник обов’язково у складі своєї пропозиції подає* (завантажує в електронну систему закупівель) відповідний підтвердний документ (оригінал або копію з оригіналу).</w:t>
      </w:r>
    </w:p>
    <w:p w:rsidR="009D665E" w:rsidRPr="009D665E" w:rsidRDefault="009D665E" w:rsidP="009D665E">
      <w:pPr>
        <w:spacing w:after="0"/>
        <w:jc w:val="both"/>
        <w:rPr>
          <w:rFonts w:ascii="Times New Roman" w:hAnsi="Times New Roman" w:cs="Times New Roman"/>
          <w:sz w:val="24"/>
          <w:szCs w:val="24"/>
        </w:rPr>
      </w:pP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 У випадку не надання Учасником у складі тендерної пропозиції документів, що посвідчують якість запропонованого товару, Замовник залишає за собою право відхилити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w:t>
      </w:r>
      <w:r w:rsidR="00EE4461">
        <w:rPr>
          <w:rFonts w:ascii="Times New Roman" w:hAnsi="Times New Roman" w:cs="Times New Roman"/>
          <w:sz w:val="24"/>
          <w:szCs w:val="24"/>
        </w:rPr>
        <w:t>.</w:t>
      </w: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lastRenderedPageBreak/>
        <w:t>У разі, якщо товар, що виступає предметом закупівлі, не відповідає технічним вимогам Замовника або Учасник не взмозі виконати умови поставки, висунуті Замовником, така пропозиція відхиляється.</w:t>
      </w: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У разі якщо тендерна пропозиція містить посилання на конкретну торговельну марку чи фірму, патент, конструкцію або тип предмета закупівлі, джерело його походження або виробника, у такому разі Замовник має на увазі - "або еквівалент" даного товару.</w:t>
      </w:r>
    </w:p>
    <w:p w:rsidR="009D665E" w:rsidRPr="009D665E" w:rsidRDefault="009D665E" w:rsidP="009D665E">
      <w:pPr>
        <w:spacing w:after="0"/>
        <w:jc w:val="both"/>
        <w:rPr>
          <w:rFonts w:ascii="Times New Roman" w:hAnsi="Times New Roman" w:cs="Times New Roman"/>
          <w:sz w:val="24"/>
          <w:szCs w:val="24"/>
        </w:rPr>
      </w:pPr>
    </w:p>
    <w:p w:rsidR="009D665E" w:rsidRPr="009D665E" w:rsidRDefault="009D665E" w:rsidP="009D665E">
      <w:pPr>
        <w:spacing w:after="0"/>
        <w:jc w:val="center"/>
        <w:rPr>
          <w:rFonts w:ascii="Times New Roman" w:hAnsi="Times New Roman" w:cs="Times New Roman"/>
          <w:b/>
          <w:sz w:val="24"/>
          <w:szCs w:val="24"/>
        </w:rPr>
      </w:pPr>
      <w:r w:rsidRPr="009D665E">
        <w:rPr>
          <w:rFonts w:ascii="Times New Roman" w:hAnsi="Times New Roman" w:cs="Times New Roman"/>
          <w:b/>
          <w:sz w:val="24"/>
          <w:szCs w:val="24"/>
        </w:rPr>
        <w:t>3. Строк поставки товару:</w:t>
      </w:r>
    </w:p>
    <w:p w:rsidR="009D665E" w:rsidRPr="009D665E" w:rsidRDefault="009D665E" w:rsidP="009D665E">
      <w:pPr>
        <w:spacing w:after="0"/>
        <w:jc w:val="both"/>
        <w:rPr>
          <w:rFonts w:ascii="Times New Roman" w:hAnsi="Times New Roman" w:cs="Times New Roman"/>
          <w:sz w:val="24"/>
          <w:szCs w:val="24"/>
        </w:rPr>
      </w:pPr>
    </w:p>
    <w:p w:rsidR="009D665E" w:rsidRPr="009D665E" w:rsidRDefault="00EE4461" w:rsidP="009D665E">
      <w:pPr>
        <w:spacing w:after="0"/>
        <w:jc w:val="both"/>
        <w:rPr>
          <w:rFonts w:ascii="Times New Roman" w:hAnsi="Times New Roman" w:cs="Times New Roman"/>
          <w:sz w:val="24"/>
          <w:szCs w:val="24"/>
        </w:rPr>
      </w:pPr>
      <w:r>
        <w:rPr>
          <w:rFonts w:ascii="Times New Roman" w:hAnsi="Times New Roman" w:cs="Times New Roman"/>
          <w:sz w:val="24"/>
          <w:szCs w:val="24"/>
        </w:rPr>
        <w:t>3.1   З</w:t>
      </w:r>
      <w:r w:rsidR="009D665E" w:rsidRPr="009D665E">
        <w:rPr>
          <w:rFonts w:ascii="Times New Roman" w:hAnsi="Times New Roman" w:cs="Times New Roman"/>
          <w:sz w:val="24"/>
          <w:szCs w:val="24"/>
        </w:rPr>
        <w:t xml:space="preserve"> дати укладання договору до </w:t>
      </w:r>
      <w:r w:rsidR="00D65F74">
        <w:rPr>
          <w:rFonts w:ascii="Times New Roman" w:hAnsi="Times New Roman" w:cs="Times New Roman"/>
          <w:sz w:val="24"/>
          <w:szCs w:val="24"/>
        </w:rPr>
        <w:t>16 серпня</w:t>
      </w:r>
      <w:r w:rsidR="009D665E" w:rsidRPr="009D665E">
        <w:rPr>
          <w:rFonts w:ascii="Times New Roman" w:hAnsi="Times New Roman" w:cs="Times New Roman"/>
          <w:sz w:val="24"/>
          <w:szCs w:val="24"/>
        </w:rPr>
        <w:t xml:space="preserve"> 2023 р., окремими партіями, узгоджений із Замовником згідно із заявкою. Заявка на відвантаження Товару надсилається засобами факсимільного, електронного зв’язку або по телефону. Замовник може надавати заявку по телефону до 17-00 години дня.</w:t>
      </w:r>
    </w:p>
    <w:p w:rsidR="009D665E" w:rsidRPr="009D665E" w:rsidRDefault="00EE4461" w:rsidP="009D665E">
      <w:pPr>
        <w:spacing w:after="0"/>
        <w:jc w:val="both"/>
        <w:rPr>
          <w:rFonts w:ascii="Times New Roman" w:hAnsi="Times New Roman" w:cs="Times New Roman"/>
          <w:sz w:val="24"/>
          <w:szCs w:val="24"/>
        </w:rPr>
      </w:pPr>
      <w:r>
        <w:rPr>
          <w:rFonts w:ascii="Times New Roman" w:hAnsi="Times New Roman" w:cs="Times New Roman"/>
          <w:sz w:val="24"/>
          <w:szCs w:val="24"/>
        </w:rPr>
        <w:t>3</w:t>
      </w:r>
      <w:r w:rsidR="009D665E" w:rsidRPr="009D665E">
        <w:rPr>
          <w:rFonts w:ascii="Times New Roman" w:hAnsi="Times New Roman" w:cs="Times New Roman"/>
          <w:sz w:val="24"/>
          <w:szCs w:val="24"/>
        </w:rPr>
        <w:t>.</w:t>
      </w:r>
      <w:r>
        <w:rPr>
          <w:rFonts w:ascii="Times New Roman" w:hAnsi="Times New Roman" w:cs="Times New Roman"/>
          <w:sz w:val="24"/>
          <w:szCs w:val="24"/>
        </w:rPr>
        <w:t>2</w:t>
      </w:r>
      <w:r w:rsidR="009D665E" w:rsidRPr="009D665E">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65E" w:rsidRPr="009D665E">
        <w:rPr>
          <w:rFonts w:ascii="Times New Roman" w:hAnsi="Times New Roman" w:cs="Times New Roman"/>
          <w:sz w:val="24"/>
          <w:szCs w:val="24"/>
        </w:rPr>
        <w:t xml:space="preserve">Місце поставки: </w:t>
      </w:r>
      <w:r w:rsidR="003268F7">
        <w:rPr>
          <w:rFonts w:ascii="Times New Roman" w:hAnsi="Times New Roman" w:cs="Times New Roman"/>
          <w:sz w:val="24"/>
          <w:szCs w:val="24"/>
        </w:rPr>
        <w:t>Сумська область, Роменський район, смт Липова Долина.</w:t>
      </w:r>
    </w:p>
    <w:p w:rsidR="009D665E" w:rsidRPr="009D665E" w:rsidRDefault="00EE4461" w:rsidP="009D665E">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009D665E" w:rsidRPr="009D665E">
        <w:rPr>
          <w:rFonts w:ascii="Times New Roman" w:hAnsi="Times New Roman" w:cs="Times New Roman"/>
          <w:sz w:val="24"/>
          <w:szCs w:val="24"/>
        </w:rPr>
        <w:t xml:space="preserve"> Вартість поставки та розвантаження товару повинна бути включена у вартість товару.</w:t>
      </w: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2.7. Учасник у складі тендерної пропозиції повинен надати гарантійний лист щодо наявності у нього на момент проведення закупівлі товару, в повному обсязі відповідно до вимог тендерної документації.</w:t>
      </w:r>
    </w:p>
    <w:p w:rsidR="009D665E" w:rsidRPr="009D665E" w:rsidRDefault="009D665E" w:rsidP="009D665E">
      <w:pPr>
        <w:spacing w:after="0"/>
        <w:jc w:val="both"/>
        <w:rPr>
          <w:rFonts w:ascii="Times New Roman" w:hAnsi="Times New Roman" w:cs="Times New Roman"/>
          <w:sz w:val="24"/>
          <w:szCs w:val="24"/>
        </w:rPr>
      </w:pPr>
    </w:p>
    <w:p w:rsidR="009D665E" w:rsidRPr="009D665E" w:rsidRDefault="009D665E" w:rsidP="009D665E">
      <w:pPr>
        <w:spacing w:after="0"/>
        <w:jc w:val="both"/>
        <w:rPr>
          <w:rFonts w:ascii="Times New Roman" w:hAnsi="Times New Roman" w:cs="Times New Roman"/>
          <w:sz w:val="24"/>
          <w:szCs w:val="24"/>
        </w:rPr>
      </w:pPr>
      <w:r w:rsidRPr="009D665E">
        <w:rPr>
          <w:rFonts w:ascii="Times New Roman" w:hAnsi="Times New Roman" w:cs="Times New Roman"/>
          <w:sz w:val="24"/>
          <w:szCs w:val="24"/>
        </w:rPr>
        <w:t>Уповноважена особа _________________________ (підпис, М.П. (у разі використання), дата) __________________ (ініціали та прізвище)</w:t>
      </w:r>
    </w:p>
    <w:sectPr w:rsidR="009D665E" w:rsidRPr="009D66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63"/>
    <w:rsid w:val="000F6C72"/>
    <w:rsid w:val="00133EEC"/>
    <w:rsid w:val="001B4DB8"/>
    <w:rsid w:val="002F3AD3"/>
    <w:rsid w:val="003268F7"/>
    <w:rsid w:val="005A4163"/>
    <w:rsid w:val="007872BB"/>
    <w:rsid w:val="009D665E"/>
    <w:rsid w:val="00D334CE"/>
    <w:rsid w:val="00D50CB1"/>
    <w:rsid w:val="00D65F74"/>
    <w:rsid w:val="00EE4461"/>
    <w:rsid w:val="00F86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D968"/>
  <w15:chartTrackingRefBased/>
  <w15:docId w15:val="{D96EAEA3-B746-4328-89A1-2F05B632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2168</Words>
  <Characters>1236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2023-06-22T13:39:00Z</dcterms:created>
  <dcterms:modified xsi:type="dcterms:W3CDTF">2023-06-26T08:33:00Z</dcterms:modified>
</cp:coreProperties>
</file>