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DA7290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«</w:t>
      </w:r>
      <w:r w:rsidR="00BF1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13</w:t>
      </w:r>
      <w:r w:rsidR="003B4C9B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» верес</w:t>
      </w:r>
      <w:r w:rsidR="00275BEE" w:rsidRPr="00E76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 xml:space="preserve">ня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7947F0" w:rsidRDefault="009A150B" w:rsidP="007947F0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3B4C9B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183F2A" w:rsidRPr="00183F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код CPV за ДК 021:2015:45300000-0</w:t>
      </w:r>
      <w:r w:rsidR="00183F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«Будівельно-монтажні роботи», 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лот № 1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 w:rsidRPr="007947F0">
        <w:t xml:space="preserve"> 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удівельно-монтажні роботи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«Нове будівництво зони відеоспостереження вузла А09 сенсорної частини системи, розташоване на кільці на перетині </w:t>
      </w:r>
      <w:proofErr w:type="spellStart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Прибрежної</w:t>
      </w:r>
      <w:proofErr w:type="spellEnd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автомагістралі та вулиць </w:t>
      </w:r>
      <w:proofErr w:type="spellStart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Глісерної</w:t>
      </w:r>
      <w:proofErr w:type="spellEnd"/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та Дніпровської,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2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А84 сенсорної частини системи, розташоване на перетині проспекту Соборного та вулиць Української та Поштової,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3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V07 сенсорної частини системи, розташоване на перетині вулиць Перемоги, Патріотичної та Яценка,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4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Z16 сенсорної частини системи, розташоване на кільці на перетині вулиць Діагональної, Заводської та Південного шосе,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5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«Нове будівництво зони відеоспостереження вузла S60 сенсорної частини системи, розташоване на перетині вулиць Моторобудівників та Іванова, м. Запоріжжя»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6 </w:t>
      </w:r>
      <w:r w:rsidR="00183F2A" w:rsidRP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183F2A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«Нове будівництво зони відеоспостереження вузла V85 сенсорної частини системи, розташоване в районі площі Маяковського, на перетині проспектів  Соборного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lastRenderedPageBreak/>
        <w:t>та Маяковського,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7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будівельно-монтажні роботи по об’єкту «Нове будівництво зони відеоспостереження вузла Н74 сенсорної частини системи, розташоване на кільці на перетині проспекту Ювілейного та проспекту Інженера Преображенського,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8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льно-монтажні роботи по об’єкту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«Нове будівництво зони відеоспостереження вузла К22 сенсорної частини системи, розташоване на перетині вулиць </w:t>
      </w:r>
      <w:proofErr w:type="spellStart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Новокузнецька</w:t>
      </w:r>
      <w:proofErr w:type="spellEnd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та Автозаводська,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9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будівельно-монтажні роботи по об’єкту «Нове будівництво зони відеоспостереження вузла А91 сенсорної частини системи, розташоване на кільці на перетині </w:t>
      </w:r>
      <w:proofErr w:type="spellStart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Прибрежної</w:t>
      </w:r>
      <w:proofErr w:type="spellEnd"/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автомагістралі та вулиці Української,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, лот № 10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–</w:t>
      </w:r>
      <w:r w:rsidR="007947F0" w:rsidRPr="007947F0">
        <w:t xml:space="preserve"> </w:t>
      </w:r>
      <w:r w:rsidR="007947F0" w:rsidRP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будівельно-монтажні роботи по об’єкту «Нове будівництво зони відеоспостереження вузла D15 сенсорної частини системи, розташоване на перетині проспектів Металургів та Соборного, м. Запоріжжя»</w:t>
      </w:r>
      <w:r w:rsidR="007947F0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8F73C6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8F73C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обсяг виконання робіт</w:t>
      </w:r>
      <w:r w:rsidR="00A86A34" w:rsidRPr="00A86A34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робота відповідно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до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Технічної частини (Додаток 5-1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відповідно до Технічної частини (Додаток 5-2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3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–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 робота відповідно до Технічної частини (Додаток 5-3 до тендерної документації)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4 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–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5-4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5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5-5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8F73C6" w:rsidRPr="008F73C6" w:rsidRDefault="008F73C6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6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="00DF26BC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Технічної частини (Додаток 5-6 до тендерної документації)</w:t>
      </w:r>
      <w:r w:rsid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  <w:r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   </w:t>
      </w:r>
    </w:p>
    <w:p w:rsidR="00F46122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Лот № 7 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–</w:t>
      </w:r>
      <w:r w:rsidR="008F73C6"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 робота 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відповідно до</w:t>
      </w:r>
      <w:r w:rsidR="008F73C6"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8F73C6" w:rsidRPr="008F73C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Технічної частини (Додаток 5-7 до тендерної документації)</w:t>
      </w:r>
      <w:r w:rsidR="00A86A34" w:rsidRPr="00A86A3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DF26BC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8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5-8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тендерної документації);</w:t>
      </w:r>
    </w:p>
    <w:p w:rsidR="00DF26BC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9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5-9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тендерної документації);</w:t>
      </w:r>
    </w:p>
    <w:p w:rsidR="00DF26BC" w:rsidRPr="0061486D" w:rsidRDefault="00DF26BC" w:rsidP="008F73C6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10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– 1 робота відповідно д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 Технічної частини (Додаток 5-10</w:t>
      </w:r>
      <w:r w:rsidRPr="00DF26B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тендерної документації).</w:t>
      </w:r>
    </w:p>
    <w:p w:rsidR="009A150B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7947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місце</w:t>
      </w:r>
      <w:r w:rsidR="000B7E93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 </w:t>
      </w:r>
      <w:r w:rsidR="00DF26BC" w:rsidRPr="00DF26B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виконання робіт</w:t>
      </w:r>
      <w:r w:rsidR="000B7E93" w:rsidRPr="00DF26B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: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 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1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</w:t>
      </w:r>
      <w:proofErr w:type="spellStart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Прибрежної</w:t>
      </w:r>
      <w:proofErr w:type="spellEnd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автомагістралі та вулиць </w:t>
      </w:r>
      <w:proofErr w:type="spellStart"/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Глісерн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та Дніпровської;</w:t>
      </w:r>
    </w:p>
    <w:p w:rsid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2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проспекту Соборного та вулиць Української та Поштової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3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Перемоги, Патріотичної та Яценка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4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– 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вулиць Діагональної, Заводської та Південного шосе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5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перетин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Моторобудівників та Іванова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8C276F" w:rsidRPr="008C276F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6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площа Маяковського, перетин</w:t>
      </w:r>
      <w:r w:rsidR="002B32D6"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проспектів  Соборного та Маяковського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DF26BC" w:rsidRDefault="008C276F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7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</w:t>
      </w:r>
      <w:r w:rsidRPr="008C276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м. Запоріжжя, 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кільце</w:t>
      </w:r>
      <w:r w:rsidR="002B32D6"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проспекту Ювілейного та проспекту Інженера Преображенського</w:t>
      </w:r>
      <w:r w:rsid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 8 – м. Запоріжжя, перетин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вулиць </w:t>
      </w:r>
      <w:proofErr w:type="spellStart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Новокузнецька</w:t>
      </w:r>
      <w:proofErr w:type="spellEnd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та Автозаводська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Лот № 9 – м. Запоріжжя, кільце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на перетині </w:t>
      </w:r>
      <w:proofErr w:type="spellStart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Прибрежної</w:t>
      </w:r>
      <w:proofErr w:type="spellEnd"/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автомагістралі та вулиці Української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;</w:t>
      </w:r>
    </w:p>
    <w:p w:rsidR="002B32D6" w:rsidRPr="008C276F" w:rsidRDefault="002B32D6" w:rsidP="008C276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Лот № 10 – м. 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Запоріжжя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перетин</w:t>
      </w:r>
      <w:r w:rsidRPr="002B32D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проспектів Металургів та Соборного</w:t>
      </w:r>
      <w:r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Default="00F1010F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4060E4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1</w:t>
      </w:r>
      <w:r w:rsidR="00DF26BC">
        <w:rPr>
          <w:rFonts w:ascii="Times New Roman" w:eastAsia="Times New Roman" w:hAnsi="Times New Roman" w:cs="Calibri"/>
          <w:b/>
          <w:sz w:val="24"/>
          <w:szCs w:val="24"/>
          <w:lang w:val="uk-UA"/>
        </w:rPr>
        <w:t>2 036 833</w:t>
      </w:r>
      <w:r w:rsidR="004060E4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,00</w:t>
      </w:r>
      <w:r w:rsidR="00EB26F1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грн. (</w:t>
      </w:r>
      <w:r w:rsidR="008C276F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дванадцять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мільйон</w:t>
      </w:r>
      <w:r w:rsidR="008C276F">
        <w:rPr>
          <w:rFonts w:ascii="Times New Roman" w:eastAsia="Times New Roman" w:hAnsi="Times New Roman" w:cs="Calibri"/>
          <w:b/>
          <w:sz w:val="24"/>
          <w:szCs w:val="24"/>
          <w:lang w:val="uk-UA"/>
        </w:rPr>
        <w:t>ів тридцять шість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тисяч</w:t>
      </w:r>
      <w:r w:rsidR="002B32D6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вісімсот тридцять три гривні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00</w:t>
      </w:r>
      <w:r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коп.), в тому числі ПДВ за </w:t>
      </w:r>
      <w:r w:rsid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ставкою 20% (для платників ПДВ), з яких: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lastRenderedPageBreak/>
        <w:t>Лот № 1 –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809 049,00 грн.</w:t>
      </w:r>
      <w:r w:rsidRPr="00E42390">
        <w:rPr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вісімсот дев’ять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тисяч 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>сорок дев’ять гривень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00 коп.)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2 –</w:t>
      </w:r>
      <w:r w:rsidRPr="00E42390">
        <w:rPr>
          <w:lang w:val="uk-UA"/>
        </w:rPr>
        <w:t xml:space="preserve"> 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>1 186</w:t>
      </w:r>
      <w:r w:rsidR="00551077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>306</w:t>
      </w:r>
      <w:r w:rsidR="00551077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(один мільйон сто вісімдесят шість тисяч триста шість гривень 00 коп.)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3 –</w:t>
      </w:r>
      <w:r w:rsidRPr="00E42390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983 289,00 грн. (дев’ятсот вісімдесят три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двісті вісімдесят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дев’ять</w:t>
      </w:r>
      <w:r w:rsidRPr="00E4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4 –</w:t>
      </w:r>
      <w:r w:rsidRPr="00E42390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989 616,00 грн.</w:t>
      </w:r>
      <w:r w:rsidR="00DC750B" w:rsidRPr="00DC750B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(дев’ятсот вісімдесят дев’ять тисяч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шістсот шістнадцять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5 –</w:t>
      </w:r>
      <w:r w:rsidRPr="00DC750B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1 291 825,00 грн.</w:t>
      </w:r>
      <w:r w:rsidR="00DC750B" w:rsidRPr="00DC750B">
        <w:rPr>
          <w:lang w:val="uk-UA"/>
        </w:rPr>
        <w:t xml:space="preserve">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(один мільйон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двісті дев’яносто одна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вісімсот двадцять п’ять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6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1 881 312,00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(один мільйон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вісімсот вісімдесят одна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тисяча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триста дванадцять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7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802 714,00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вісімсот дві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тисячі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сімсот чотирнадцять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8 –</w:t>
      </w:r>
      <w:r w:rsidRPr="00B06EEE">
        <w:rPr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998 220,00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(дев’ятсот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дев’яносто вісім тисяч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двісті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двадцять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E42390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9 –</w:t>
      </w:r>
      <w:r w:rsidRPr="00E42390"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943 173,00 грн.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(дев’ятсот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сорок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 тисячі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сто сімдесят три гривні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коп.)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ПДВ);</w:t>
      </w:r>
    </w:p>
    <w:p w:rsidR="00E42390" w:rsidRPr="004060E4" w:rsidRDefault="00E42390" w:rsidP="00BA4B2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Лот № 10 –</w:t>
      </w:r>
      <w:r w:rsidRPr="00E42390">
        <w:t xml:space="preserve"> 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>2 151 329,00 грн.</w:t>
      </w:r>
      <w:r w:rsidR="00DC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(два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мільйон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сто п’ятдесят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одна тисяча </w:t>
      </w:r>
      <w:r w:rsidR="00DC750B">
        <w:rPr>
          <w:rFonts w:ascii="Times New Roman" w:hAnsi="Times New Roman" w:cs="Times New Roman"/>
          <w:b/>
          <w:sz w:val="24"/>
          <w:szCs w:val="24"/>
          <w:lang w:val="uk-UA"/>
        </w:rPr>
        <w:t>триста двадцять дев’ять</w:t>
      </w:r>
      <w:r w:rsidR="00DC750B" w:rsidRPr="00DC7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коп.)</w:t>
      </w:r>
      <w:r w:rsidR="00DC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>з ПДВ (для платників ПДВ).</w:t>
      </w:r>
    </w:p>
    <w:p w:rsidR="00F46122" w:rsidRPr="000B7E9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до 10</w:t>
      </w:r>
      <w:r w:rsidR="000B7E93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грудня 2023 року</w:t>
      </w:r>
      <w:r w:rsidR="00E42390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включно</w:t>
      </w:r>
      <w:r w:rsidR="00B552EF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1415C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BF113D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22</w:t>
      </w:r>
      <w:r w:rsidR="000B7E93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.09</w:t>
      </w:r>
      <w:r w:rsidR="00B86813"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.2023</w:t>
      </w:r>
      <w:r w:rsidRPr="00E76903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 року</w:t>
      </w:r>
      <w:r w:rsidR="00922613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B55A85" w:rsidRPr="001474EC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B06EEE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B06EE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B06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рахунок </w:t>
      </w:r>
      <w:r w:rsidR="001474EC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Підрядника протягом 20 (двадцяти) банківських днів від дати підписання Замовником </w:t>
      </w:r>
      <w:r w:rsidR="00B06EEE" w:rsidRPr="00B06EEE">
        <w:rPr>
          <w:rFonts w:ascii="Times New Roman" w:hAnsi="Times New Roman" w:cs="Times New Roman"/>
          <w:b/>
          <w:sz w:val="24"/>
          <w:szCs w:val="24"/>
          <w:lang w:val="uk-UA"/>
        </w:rPr>
        <w:t>акту приймання</w:t>
      </w:r>
      <w:r w:rsidR="001474EC" w:rsidRPr="00B06E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виконаних будівельних робіт за формою КБ-2в, довідки про вартість виконаних робіт та витрати за формою КБ-3 та інших документів, що підтверджують виконання робіт (та їх складових) за договором</w:t>
      </w:r>
      <w:r w:rsidR="00AF3CE8" w:rsidRPr="00B06E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B55A85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BF113D" w:rsidRPr="00BF113D" w:rsidRDefault="00842275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="00BF113D"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0,5% від очікуваної вартості частини предмета закупівлі (за кожним лотом окремо), що складає: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1 – 4 045,25 грн. (чотири тисячі сорок п’ять гривень 25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2 – 5 931,53 грн. (п’ять тисяч дев’ятсот тридцять одна гривня 53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3 – 4 916,45 грн. (чотири тисячі дев’ятсот шістнадцять гривень 45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4 – 4 948,08 грн. (чотири тисячі дев’ятсот сорок вісім гривень 08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5 – 6 459,13 грн. (шість тисяч чотириста п’ятдесят дев’ять гривень 13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6 – 9 406,56 грн. (дев’ять тисяч чотириста шість гривень 56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7 – 4 013,57 грн. (чотири тисячі тринадцять гривень 57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8 – 4 991,10 грн. (чотири тисячі дев’ятсот дев’яносто одна гривня 10 коп.);</w:t>
      </w:r>
    </w:p>
    <w:p w:rsidR="00BF113D" w:rsidRPr="00BF113D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9 – 4 715,87 грн. (чотири тисячі сімсот п’ятнадцять гривень 87 коп.);</w:t>
      </w:r>
    </w:p>
    <w:p w:rsidR="001474EC" w:rsidRPr="00551077" w:rsidRDefault="00BF113D" w:rsidP="00BF113D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BF113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val="uk-UA"/>
        </w:rPr>
        <w:t>Лот № 10 – 10 756,65 грн. (десять тисяч сімсот п’ятдесят шість гривень 65 коп.).</w:t>
      </w:r>
      <w:bookmarkStart w:id="0" w:name="_GoBack"/>
      <w:bookmarkEnd w:id="0"/>
    </w:p>
    <w:p w:rsidR="00842275" w:rsidRPr="00B06EEE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lastRenderedPageBreak/>
        <w:t xml:space="preserve">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4060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АБ «</w:t>
      </w:r>
      <w:proofErr w:type="spellStart"/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F41D9F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4060E4" w:rsidRPr="00B06EEE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F41D9F"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1% очікуваної вартості частини предмета закупівлі (за кожним лотом окремо), що складає</w:t>
      </w:r>
      <w:r w:rsid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: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 – 8 090,49 грн. (вісім тисяч дев’яносто гривень 49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2 – 11 863,06 грн. (одинадцять тисяч вісімсот шістдесят три гривні 06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3 – 9 832,89 грн. (дев’ять тисяч вісімсот тридцять дві гривні 89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4 – 9 896,16 грн. (дев’ять тисяч вісімсот дев’яносто шість гривень 16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5 – 12 918,25 грн. (дванадцять тисяч дев’ятсот вісімнадцять гривень 25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6 – 18 813,12 грн. (вісімнадцять тисяч вісімсот тринадцять гривень 12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7 – 8 027,14 грн. (вісім тисяч двадцять сім гривень 14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8 – 9 982,20 грн. (дев’ять тисяч дев’ятсот вісімдесят дві гривні 20 коп.);</w:t>
      </w:r>
    </w:p>
    <w:p w:rsidR="00F41D9F" w:rsidRP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9 – 9 431,73 грн. (дев’ять тисяч чотириста тридцять одна гривня 73 коп.);</w:t>
      </w:r>
    </w:p>
    <w:p w:rsidR="00F41D9F" w:rsidRDefault="00F41D9F" w:rsidP="00F41D9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F41D9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Лот № 10 – 21 513,29 грн. (двадцять одна тисяча п’ятсот тринадцять гривень 29 коп.).</w:t>
      </w:r>
    </w:p>
    <w:p w:rsidR="00F41D9F" w:rsidRPr="00FD297C" w:rsidRDefault="00F41D9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BF113D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B7E93"/>
    <w:rsid w:val="000E2526"/>
    <w:rsid w:val="00116F86"/>
    <w:rsid w:val="001415C1"/>
    <w:rsid w:val="001474EC"/>
    <w:rsid w:val="00154563"/>
    <w:rsid w:val="00156F0D"/>
    <w:rsid w:val="00183F2A"/>
    <w:rsid w:val="001A0527"/>
    <w:rsid w:val="001B24A2"/>
    <w:rsid w:val="001B58E9"/>
    <w:rsid w:val="00230913"/>
    <w:rsid w:val="00266BA8"/>
    <w:rsid w:val="00275BEE"/>
    <w:rsid w:val="002B32D6"/>
    <w:rsid w:val="002F03D5"/>
    <w:rsid w:val="003A458E"/>
    <w:rsid w:val="003B4C9B"/>
    <w:rsid w:val="003D2D9C"/>
    <w:rsid w:val="003D52A5"/>
    <w:rsid w:val="004060E4"/>
    <w:rsid w:val="00422BD6"/>
    <w:rsid w:val="00427171"/>
    <w:rsid w:val="0047194F"/>
    <w:rsid w:val="004B3F9D"/>
    <w:rsid w:val="00551077"/>
    <w:rsid w:val="005A500E"/>
    <w:rsid w:val="006025CF"/>
    <w:rsid w:val="0061486D"/>
    <w:rsid w:val="0062315B"/>
    <w:rsid w:val="00643823"/>
    <w:rsid w:val="00644662"/>
    <w:rsid w:val="0069092B"/>
    <w:rsid w:val="006D05D6"/>
    <w:rsid w:val="006D5345"/>
    <w:rsid w:val="006D6C32"/>
    <w:rsid w:val="00716016"/>
    <w:rsid w:val="00752D58"/>
    <w:rsid w:val="00753F27"/>
    <w:rsid w:val="007947F0"/>
    <w:rsid w:val="007A3A08"/>
    <w:rsid w:val="00842275"/>
    <w:rsid w:val="00864288"/>
    <w:rsid w:val="008C276F"/>
    <w:rsid w:val="008F73C6"/>
    <w:rsid w:val="00922613"/>
    <w:rsid w:val="0093662B"/>
    <w:rsid w:val="009A150B"/>
    <w:rsid w:val="00A27FA6"/>
    <w:rsid w:val="00A51B2D"/>
    <w:rsid w:val="00A63289"/>
    <w:rsid w:val="00A86A34"/>
    <w:rsid w:val="00AC0291"/>
    <w:rsid w:val="00AE7547"/>
    <w:rsid w:val="00AF3CE8"/>
    <w:rsid w:val="00B06EEE"/>
    <w:rsid w:val="00B35202"/>
    <w:rsid w:val="00B552EF"/>
    <w:rsid w:val="00B55A85"/>
    <w:rsid w:val="00B7304E"/>
    <w:rsid w:val="00B86813"/>
    <w:rsid w:val="00BA4B2C"/>
    <w:rsid w:val="00BF113D"/>
    <w:rsid w:val="00C204A1"/>
    <w:rsid w:val="00C27017"/>
    <w:rsid w:val="00CA29B5"/>
    <w:rsid w:val="00CA75D5"/>
    <w:rsid w:val="00CC1EC3"/>
    <w:rsid w:val="00D23C92"/>
    <w:rsid w:val="00D25888"/>
    <w:rsid w:val="00D30D44"/>
    <w:rsid w:val="00DA7290"/>
    <w:rsid w:val="00DB6A2A"/>
    <w:rsid w:val="00DC750B"/>
    <w:rsid w:val="00DF26BC"/>
    <w:rsid w:val="00E42390"/>
    <w:rsid w:val="00E661B9"/>
    <w:rsid w:val="00E76903"/>
    <w:rsid w:val="00E902ED"/>
    <w:rsid w:val="00EB26F1"/>
    <w:rsid w:val="00EC65CC"/>
    <w:rsid w:val="00EC6B5F"/>
    <w:rsid w:val="00EE63E1"/>
    <w:rsid w:val="00F1010F"/>
    <w:rsid w:val="00F41D9F"/>
    <w:rsid w:val="00F44941"/>
    <w:rsid w:val="00F45795"/>
    <w:rsid w:val="00F46122"/>
    <w:rsid w:val="00F65FA6"/>
    <w:rsid w:val="00FD297C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D8D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41</cp:revision>
  <dcterms:created xsi:type="dcterms:W3CDTF">2021-08-17T12:57:00Z</dcterms:created>
  <dcterms:modified xsi:type="dcterms:W3CDTF">2023-09-13T07:17:00Z</dcterms:modified>
</cp:coreProperties>
</file>