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30AFD" w14:textId="19E0661E" w:rsidR="00E84063" w:rsidRPr="00690F76" w:rsidRDefault="00690F76" w:rsidP="00690F76">
      <w:pPr>
        <w:spacing w:after="0" w:line="240" w:lineRule="auto"/>
        <w:jc w:val="right"/>
        <w:rPr>
          <w:rFonts w:ascii="Times New Roman" w:hAnsi="Times New Roman" w:cs="Times New Roman"/>
          <w:b/>
          <w:bCs/>
          <w:sz w:val="24"/>
          <w:szCs w:val="24"/>
        </w:rPr>
      </w:pPr>
      <w:r w:rsidRPr="00690F76">
        <w:rPr>
          <w:rFonts w:ascii="Times New Roman" w:hAnsi="Times New Roman" w:cs="Times New Roman"/>
          <w:b/>
          <w:bCs/>
          <w:sz w:val="24"/>
          <w:szCs w:val="24"/>
        </w:rPr>
        <w:t>ДОДАТОК №2</w:t>
      </w:r>
    </w:p>
    <w:p w14:paraId="147DF1F7"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ІНФОРМАЦІЯ ПРО НЕОБХІДНІ ТЕХНІЧНІ, ЯКІСНІ ТА КІЛЬКІСНІ ХАРАКТЕРИСТИКИ ПРЕДМЕТА ЗАКУПІВЛІ</w:t>
      </w:r>
    </w:p>
    <w:p w14:paraId="3EB83E10"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 xml:space="preserve"> «Природний газ»</w:t>
      </w:r>
    </w:p>
    <w:p w14:paraId="3D31C188"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ДК 021:2015 09120000-6 Газове паливо</w:t>
      </w:r>
    </w:p>
    <w:p w14:paraId="38DA5074"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Номенклатура: 09123000-7 Природний газ</w:t>
      </w:r>
    </w:p>
    <w:p w14:paraId="2A4D4803"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71D054B5"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ТЕХНІЧНА СПЕЦИФІКАЦІЯ (ЗАВДАННЯ)</w:t>
      </w:r>
    </w:p>
    <w:p w14:paraId="604E97BE"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tbl>
      <w:tblPr>
        <w:tblStyle w:val="a3"/>
        <w:tblW w:w="9781" w:type="dxa"/>
        <w:tblInd w:w="-34" w:type="dxa"/>
        <w:tblLayout w:type="fixed"/>
        <w:tblLook w:val="04A0" w:firstRow="1" w:lastRow="0" w:firstColumn="1" w:lastColumn="0" w:noHBand="0" w:noVBand="1"/>
      </w:tblPr>
      <w:tblGrid>
        <w:gridCol w:w="2014"/>
        <w:gridCol w:w="992"/>
        <w:gridCol w:w="1276"/>
        <w:gridCol w:w="1276"/>
        <w:gridCol w:w="4223"/>
      </w:tblGrid>
      <w:tr w:rsidR="00690F76" w:rsidRPr="00690F76" w14:paraId="04CAC200" w14:textId="77777777" w:rsidTr="00EF1E22">
        <w:tc>
          <w:tcPr>
            <w:tcW w:w="2014" w:type="dxa"/>
            <w:shd w:val="clear" w:color="auto" w:fill="E7E6E6"/>
          </w:tcPr>
          <w:p w14:paraId="422034C2"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Найменування предмета закупівлі</w:t>
            </w:r>
          </w:p>
        </w:tc>
        <w:tc>
          <w:tcPr>
            <w:tcW w:w="992" w:type="dxa"/>
            <w:shd w:val="clear" w:color="auto" w:fill="E7E6E6"/>
          </w:tcPr>
          <w:p w14:paraId="6894BD0F"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Одиниця виміру</w:t>
            </w:r>
          </w:p>
        </w:tc>
        <w:tc>
          <w:tcPr>
            <w:tcW w:w="1276" w:type="dxa"/>
            <w:shd w:val="clear" w:color="auto" w:fill="E7E6E6"/>
          </w:tcPr>
          <w:p w14:paraId="2D25C656"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Кількість</w:t>
            </w:r>
          </w:p>
        </w:tc>
        <w:tc>
          <w:tcPr>
            <w:tcW w:w="1276" w:type="dxa"/>
            <w:shd w:val="clear" w:color="auto" w:fill="E7E6E6"/>
          </w:tcPr>
          <w:p w14:paraId="1D369B93"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Строк поставки</w:t>
            </w:r>
          </w:p>
        </w:tc>
        <w:tc>
          <w:tcPr>
            <w:tcW w:w="4223" w:type="dxa"/>
            <w:shd w:val="clear" w:color="auto" w:fill="E7E6E6"/>
          </w:tcPr>
          <w:p w14:paraId="52FB1112" w14:textId="29FF5214" w:rsidR="00690F76" w:rsidRPr="00690F76" w:rsidRDefault="00EF1E22" w:rsidP="00690F76">
            <w:pPr>
              <w:autoSpaceDE w:val="0"/>
              <w:autoSpaceDN w:val="0"/>
              <w:adjustRightInd w:val="0"/>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Місця</w:t>
            </w:r>
            <w:r w:rsidR="00690F76" w:rsidRPr="00690F76">
              <w:rPr>
                <w:rFonts w:ascii="Times New Roman" w:hAnsi="Times New Roman"/>
                <w:b/>
                <w:color w:val="000000"/>
                <w:kern w:val="1"/>
                <w:sz w:val="24"/>
                <w:szCs w:val="24"/>
                <w:lang w:eastAsia="ar-SA"/>
              </w:rPr>
              <w:t xml:space="preserve"> поставки</w:t>
            </w:r>
          </w:p>
        </w:tc>
      </w:tr>
      <w:tr w:rsidR="00690F76" w:rsidRPr="00690F76" w14:paraId="743E8056" w14:textId="77777777" w:rsidTr="00EF1E22">
        <w:tc>
          <w:tcPr>
            <w:tcW w:w="2014" w:type="dxa"/>
          </w:tcPr>
          <w:p w14:paraId="71812109"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«Природний газ»</w:t>
            </w:r>
          </w:p>
          <w:p w14:paraId="01DD4877"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ДК 021:2015 09120000-6 Газове паливо</w:t>
            </w:r>
          </w:p>
          <w:p w14:paraId="2131A9D1"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094C6D54"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Номенклатура: 09123000-7 Природний газ</w:t>
            </w:r>
          </w:p>
        </w:tc>
        <w:tc>
          <w:tcPr>
            <w:tcW w:w="992" w:type="dxa"/>
          </w:tcPr>
          <w:p w14:paraId="540AF50C"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4367BCC7"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DC1FBF3"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s="Times New Roman"/>
                <w:color w:val="000000"/>
                <w:kern w:val="3"/>
                <w:sz w:val="24"/>
                <w:szCs w:val="24"/>
                <w:lang w:eastAsia="ar-SA"/>
              </w:rPr>
              <w:t>м</w:t>
            </w:r>
            <w:r w:rsidRPr="00690F76">
              <w:rPr>
                <w:rFonts w:ascii="Times New Roman" w:hAnsi="Times New Roman" w:cs="Times New Roman"/>
                <w:color w:val="000000"/>
                <w:kern w:val="3"/>
                <w:sz w:val="24"/>
                <w:szCs w:val="24"/>
                <w:vertAlign w:val="superscript"/>
                <w:lang w:eastAsia="ar-SA"/>
              </w:rPr>
              <w:t>3</w:t>
            </w:r>
          </w:p>
        </w:tc>
        <w:tc>
          <w:tcPr>
            <w:tcW w:w="1276" w:type="dxa"/>
          </w:tcPr>
          <w:p w14:paraId="15EB9B6E"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0AB69212"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190E7E7B" w14:textId="6959493D" w:rsidR="00690F76" w:rsidRPr="00577A9C" w:rsidRDefault="00577A9C" w:rsidP="00690F7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b/>
                <w:sz w:val="24"/>
                <w:szCs w:val="24"/>
                <w:lang w:eastAsia="ru-RU"/>
              </w:rPr>
              <w:t>180 000</w:t>
            </w:r>
            <w:bookmarkStart w:id="0" w:name="_GoBack"/>
            <w:bookmarkEnd w:id="0"/>
          </w:p>
        </w:tc>
        <w:tc>
          <w:tcPr>
            <w:tcW w:w="1276" w:type="dxa"/>
          </w:tcPr>
          <w:p w14:paraId="5C16E22A"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4EF48E9"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до 31 грудня 2023 року включно</w:t>
            </w:r>
          </w:p>
        </w:tc>
        <w:tc>
          <w:tcPr>
            <w:tcW w:w="4223" w:type="dxa"/>
          </w:tcPr>
          <w:p w14:paraId="1ACD02D1"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9062432"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 xml:space="preserve">Місце поставки: Заклади освіти </w:t>
            </w:r>
            <w:proofErr w:type="spellStart"/>
            <w:r w:rsidRPr="00577A9C">
              <w:rPr>
                <w:rFonts w:ascii="Times New Roman" w:hAnsi="Times New Roman" w:cs="Times New Roman"/>
                <w:sz w:val="24"/>
                <w:szCs w:val="24"/>
                <w:lang w:eastAsia="ru-RU"/>
              </w:rPr>
              <w:t>Новояричівської</w:t>
            </w:r>
            <w:proofErr w:type="spellEnd"/>
            <w:r w:rsidRPr="00577A9C">
              <w:rPr>
                <w:rFonts w:ascii="Times New Roman" w:hAnsi="Times New Roman" w:cs="Times New Roman"/>
                <w:sz w:val="24"/>
                <w:szCs w:val="24"/>
                <w:lang w:eastAsia="ru-RU"/>
              </w:rPr>
              <w:t xml:space="preserve"> селищної ради.</w:t>
            </w:r>
          </w:p>
          <w:p w14:paraId="7BA7974F"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w:t>
            </w:r>
            <w:r w:rsidRPr="00577A9C">
              <w:rPr>
                <w:rFonts w:ascii="Times New Roman" w:hAnsi="Times New Roman" w:cs="Times New Roman"/>
                <w:sz w:val="24"/>
                <w:szCs w:val="24"/>
                <w:lang w:eastAsia="ru-RU"/>
              </w:rPr>
              <w:tab/>
              <w:t xml:space="preserve">на </w:t>
            </w:r>
            <w:proofErr w:type="spellStart"/>
            <w:r w:rsidRPr="00577A9C">
              <w:rPr>
                <w:rFonts w:ascii="Times New Roman" w:hAnsi="Times New Roman" w:cs="Times New Roman"/>
                <w:sz w:val="24"/>
                <w:szCs w:val="24"/>
                <w:lang w:eastAsia="ru-RU"/>
              </w:rPr>
              <w:t>об’єк</w:t>
            </w:r>
            <w:proofErr w:type="spellEnd"/>
            <w:r w:rsidRPr="00577A9C">
              <w:rPr>
                <w:rFonts w:ascii="Times New Roman" w:hAnsi="Times New Roman" w:cs="Times New Roman"/>
                <w:sz w:val="24"/>
                <w:szCs w:val="24"/>
                <w:lang w:eastAsia="ru-RU"/>
              </w:rPr>
              <w:t xml:space="preserve"> за </w:t>
            </w:r>
            <w:proofErr w:type="spellStart"/>
            <w:r w:rsidRPr="00577A9C">
              <w:rPr>
                <w:rFonts w:ascii="Times New Roman" w:hAnsi="Times New Roman" w:cs="Times New Roman"/>
                <w:sz w:val="24"/>
                <w:szCs w:val="24"/>
                <w:lang w:eastAsia="ru-RU"/>
              </w:rPr>
              <w:t>адресою</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смт.Новий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вул.Незалежності</w:t>
            </w:r>
            <w:proofErr w:type="spellEnd"/>
            <w:r w:rsidRPr="00577A9C">
              <w:rPr>
                <w:rFonts w:ascii="Times New Roman" w:hAnsi="Times New Roman" w:cs="Times New Roman"/>
                <w:sz w:val="24"/>
                <w:szCs w:val="24"/>
                <w:lang w:eastAsia="ru-RU"/>
              </w:rPr>
              <w:t xml:space="preserve"> 37  </w:t>
            </w:r>
          </w:p>
          <w:p w14:paraId="6764A95C"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2.</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смт.Новий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вул.Незалежності</w:t>
            </w:r>
            <w:proofErr w:type="spellEnd"/>
            <w:r w:rsidRPr="00577A9C">
              <w:rPr>
                <w:rFonts w:ascii="Times New Roman" w:hAnsi="Times New Roman" w:cs="Times New Roman"/>
                <w:sz w:val="24"/>
                <w:szCs w:val="24"/>
                <w:lang w:eastAsia="ru-RU"/>
              </w:rPr>
              <w:t xml:space="preserve"> 37 </w:t>
            </w:r>
          </w:p>
          <w:p w14:paraId="1BC20B69"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3.</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адресою_с.Банюнин</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вул.Комарова</w:t>
            </w:r>
            <w:proofErr w:type="spellEnd"/>
            <w:r w:rsidRPr="00577A9C">
              <w:rPr>
                <w:rFonts w:ascii="Times New Roman" w:hAnsi="Times New Roman" w:cs="Times New Roman"/>
                <w:sz w:val="24"/>
                <w:szCs w:val="24"/>
                <w:lang w:eastAsia="ru-RU"/>
              </w:rPr>
              <w:t xml:space="preserve"> 32</w:t>
            </w:r>
          </w:p>
          <w:p w14:paraId="7E3C7E94"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4.</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адресою_смт.Новий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Яричів,вул.Коротка</w:t>
            </w:r>
            <w:proofErr w:type="spellEnd"/>
            <w:r w:rsidRPr="00577A9C">
              <w:rPr>
                <w:rFonts w:ascii="Times New Roman" w:hAnsi="Times New Roman" w:cs="Times New Roman"/>
                <w:sz w:val="24"/>
                <w:szCs w:val="24"/>
                <w:lang w:eastAsia="ru-RU"/>
              </w:rPr>
              <w:t xml:space="preserve"> 2 </w:t>
            </w:r>
          </w:p>
          <w:p w14:paraId="71D0DFE2"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5.</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адресою_c.Старий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Яричів,вул.Галицька</w:t>
            </w:r>
            <w:proofErr w:type="spellEnd"/>
            <w:r w:rsidRPr="00577A9C">
              <w:rPr>
                <w:rFonts w:ascii="Times New Roman" w:hAnsi="Times New Roman" w:cs="Times New Roman"/>
                <w:sz w:val="24"/>
                <w:szCs w:val="24"/>
                <w:lang w:eastAsia="ru-RU"/>
              </w:rPr>
              <w:t xml:space="preserve"> 34 </w:t>
            </w:r>
          </w:p>
          <w:p w14:paraId="7529E57F"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6.</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w:t>
            </w:r>
            <w:proofErr w:type="spellEnd"/>
            <w:r w:rsidRPr="00577A9C">
              <w:rPr>
                <w:rFonts w:ascii="Times New Roman" w:hAnsi="Times New Roman" w:cs="Times New Roman"/>
                <w:sz w:val="24"/>
                <w:szCs w:val="24"/>
                <w:lang w:eastAsia="ru-RU"/>
              </w:rPr>
              <w:t>__</w:t>
            </w:r>
            <w:proofErr w:type="spellStart"/>
            <w:r w:rsidRPr="00577A9C">
              <w:rPr>
                <w:rFonts w:ascii="Times New Roman" w:hAnsi="Times New Roman" w:cs="Times New Roman"/>
                <w:sz w:val="24"/>
                <w:szCs w:val="24"/>
                <w:lang w:eastAsia="ru-RU"/>
              </w:rPr>
              <w:t>смт.Запитів,вул.Київська</w:t>
            </w:r>
            <w:proofErr w:type="spellEnd"/>
            <w:r w:rsidRPr="00577A9C">
              <w:rPr>
                <w:rFonts w:ascii="Times New Roman" w:hAnsi="Times New Roman" w:cs="Times New Roman"/>
                <w:sz w:val="24"/>
                <w:szCs w:val="24"/>
                <w:lang w:eastAsia="ru-RU"/>
              </w:rPr>
              <w:t xml:space="preserve"> 119_</w:t>
            </w:r>
          </w:p>
          <w:p w14:paraId="635637D7"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7.</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адресою_c.Неслухів,вул.Наукова</w:t>
            </w:r>
            <w:proofErr w:type="spellEnd"/>
            <w:r w:rsidRPr="00577A9C">
              <w:rPr>
                <w:rFonts w:ascii="Times New Roman" w:hAnsi="Times New Roman" w:cs="Times New Roman"/>
                <w:sz w:val="24"/>
                <w:szCs w:val="24"/>
                <w:lang w:eastAsia="ru-RU"/>
              </w:rPr>
              <w:t xml:space="preserve"> 19  </w:t>
            </w:r>
          </w:p>
          <w:p w14:paraId="7DA912EF"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8.</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с.Старий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Яричів,вул</w:t>
            </w:r>
            <w:proofErr w:type="spellEnd"/>
            <w:r w:rsidRPr="00577A9C">
              <w:rPr>
                <w:rFonts w:ascii="Times New Roman" w:hAnsi="Times New Roman" w:cs="Times New Roman"/>
                <w:sz w:val="24"/>
                <w:szCs w:val="24"/>
                <w:lang w:eastAsia="ru-RU"/>
              </w:rPr>
              <w:t xml:space="preserve"> Зелена 61  </w:t>
            </w:r>
          </w:p>
          <w:p w14:paraId="5A48673D"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9.</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адресою_смт.Запитів,вул.Молодіжна</w:t>
            </w:r>
            <w:proofErr w:type="spellEnd"/>
            <w:r w:rsidRPr="00577A9C">
              <w:rPr>
                <w:rFonts w:ascii="Times New Roman" w:hAnsi="Times New Roman" w:cs="Times New Roman"/>
                <w:sz w:val="24"/>
                <w:szCs w:val="24"/>
                <w:lang w:eastAsia="ru-RU"/>
              </w:rPr>
              <w:t xml:space="preserve"> 5а_  </w:t>
            </w:r>
          </w:p>
          <w:p w14:paraId="26AD7849"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10.</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адресою_c.Руданці,вул.Шкільна</w:t>
            </w:r>
            <w:proofErr w:type="spellEnd"/>
            <w:r w:rsidRPr="00577A9C">
              <w:rPr>
                <w:rFonts w:ascii="Times New Roman" w:hAnsi="Times New Roman" w:cs="Times New Roman"/>
                <w:sz w:val="24"/>
                <w:szCs w:val="24"/>
                <w:lang w:eastAsia="ru-RU"/>
              </w:rPr>
              <w:t xml:space="preserve"> 1  </w:t>
            </w:r>
          </w:p>
          <w:p w14:paraId="67EC5C4A"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11.</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адресою_с.Банюнин,вул.Комарова</w:t>
            </w:r>
            <w:proofErr w:type="spellEnd"/>
            <w:r w:rsidRPr="00577A9C">
              <w:rPr>
                <w:rFonts w:ascii="Times New Roman" w:hAnsi="Times New Roman" w:cs="Times New Roman"/>
                <w:sz w:val="24"/>
                <w:szCs w:val="24"/>
                <w:lang w:eastAsia="ru-RU"/>
              </w:rPr>
              <w:t xml:space="preserve"> 30  </w:t>
            </w:r>
          </w:p>
          <w:p w14:paraId="719D5F91"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12.</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адресою_смт.Новий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Яричів,вул.Незалежності</w:t>
            </w:r>
            <w:proofErr w:type="spellEnd"/>
            <w:r w:rsidRPr="00577A9C">
              <w:rPr>
                <w:rFonts w:ascii="Times New Roman" w:hAnsi="Times New Roman" w:cs="Times New Roman"/>
                <w:sz w:val="24"/>
                <w:szCs w:val="24"/>
                <w:lang w:eastAsia="ru-RU"/>
              </w:rPr>
              <w:t xml:space="preserve"> 20  </w:t>
            </w:r>
          </w:p>
          <w:p w14:paraId="3D6831F7"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13.</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адресою_смт.Новий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Яричів,вул.Незалежності</w:t>
            </w:r>
            <w:proofErr w:type="spellEnd"/>
            <w:r w:rsidRPr="00577A9C">
              <w:rPr>
                <w:rFonts w:ascii="Times New Roman" w:hAnsi="Times New Roman" w:cs="Times New Roman"/>
                <w:sz w:val="24"/>
                <w:szCs w:val="24"/>
                <w:lang w:eastAsia="ru-RU"/>
              </w:rPr>
              <w:t xml:space="preserve"> 6</w:t>
            </w:r>
          </w:p>
          <w:p w14:paraId="6151A6F9"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14.</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адресою_смт._Новий</w:t>
            </w:r>
            <w:proofErr w:type="spellEnd"/>
            <w:r w:rsidRPr="00577A9C">
              <w:rPr>
                <w:rFonts w:ascii="Times New Roman" w:hAnsi="Times New Roman" w:cs="Times New Roman"/>
                <w:sz w:val="24"/>
                <w:szCs w:val="24"/>
                <w:lang w:eastAsia="ru-RU"/>
              </w:rPr>
              <w:t xml:space="preserve"> Яричів,вул.Нежалежності,6 </w:t>
            </w:r>
          </w:p>
          <w:p w14:paraId="147F7AEC"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15.</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адресою_с.Борщовичі,вул.Садова</w:t>
            </w:r>
            <w:proofErr w:type="spellEnd"/>
            <w:r w:rsidRPr="00577A9C">
              <w:rPr>
                <w:rFonts w:ascii="Times New Roman" w:hAnsi="Times New Roman" w:cs="Times New Roman"/>
                <w:sz w:val="24"/>
                <w:szCs w:val="24"/>
                <w:lang w:eastAsia="ru-RU"/>
              </w:rPr>
              <w:t xml:space="preserve"> 1-Б</w:t>
            </w:r>
          </w:p>
          <w:p w14:paraId="799B68C0"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16.</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w:t>
            </w:r>
            <w:proofErr w:type="spellEnd"/>
            <w:r w:rsidRPr="00577A9C">
              <w:rPr>
                <w:rFonts w:ascii="Times New Roman" w:hAnsi="Times New Roman" w:cs="Times New Roman"/>
                <w:sz w:val="24"/>
                <w:szCs w:val="24"/>
                <w:lang w:eastAsia="ru-RU"/>
              </w:rPr>
              <w:t xml:space="preserve"> с.Борщовичі,вул.Садова1-А</w:t>
            </w:r>
          </w:p>
          <w:p w14:paraId="5A0E96B8" w14:textId="77777777" w:rsidR="00577A9C" w:rsidRPr="00577A9C" w:rsidRDefault="00577A9C" w:rsidP="00577A9C">
            <w:pPr>
              <w:shd w:val="clear" w:color="auto" w:fill="FFFFFF"/>
              <w:jc w:val="both"/>
              <w:textAlignment w:val="baseline"/>
              <w:rPr>
                <w:rFonts w:ascii="Times New Roman" w:hAnsi="Times New Roman" w:cs="Times New Roman"/>
                <w:sz w:val="24"/>
                <w:szCs w:val="24"/>
                <w:lang w:eastAsia="ru-RU"/>
              </w:rPr>
            </w:pPr>
            <w:r w:rsidRPr="00577A9C">
              <w:rPr>
                <w:rFonts w:ascii="Times New Roman" w:hAnsi="Times New Roman" w:cs="Times New Roman"/>
                <w:sz w:val="24"/>
                <w:szCs w:val="24"/>
                <w:lang w:eastAsia="ru-RU"/>
              </w:rPr>
              <w:t>17.</w:t>
            </w:r>
            <w:r w:rsidRPr="00577A9C">
              <w:rPr>
                <w:rFonts w:ascii="Times New Roman" w:hAnsi="Times New Roman" w:cs="Times New Roman"/>
                <w:sz w:val="24"/>
                <w:szCs w:val="24"/>
                <w:lang w:eastAsia="ru-RU"/>
              </w:rPr>
              <w:tab/>
              <w:t xml:space="preserve">на об’єкт за </w:t>
            </w:r>
            <w:proofErr w:type="spellStart"/>
            <w:r w:rsidRPr="00577A9C">
              <w:rPr>
                <w:rFonts w:ascii="Times New Roman" w:hAnsi="Times New Roman" w:cs="Times New Roman"/>
                <w:sz w:val="24"/>
                <w:szCs w:val="24"/>
                <w:lang w:eastAsia="ru-RU"/>
              </w:rPr>
              <w:t>адресою_с.Пикуловичі,вул.Булеци</w:t>
            </w:r>
            <w:proofErr w:type="spellEnd"/>
            <w:r w:rsidRPr="00577A9C">
              <w:rPr>
                <w:rFonts w:ascii="Times New Roman" w:hAnsi="Times New Roman" w:cs="Times New Roman"/>
                <w:sz w:val="24"/>
                <w:szCs w:val="24"/>
                <w:lang w:eastAsia="ru-RU"/>
              </w:rPr>
              <w:t xml:space="preserve"> 1</w:t>
            </w:r>
          </w:p>
          <w:p w14:paraId="65CFE985" w14:textId="7CB8EC2E" w:rsidR="00690F76" w:rsidRPr="00690F76" w:rsidRDefault="00577A9C" w:rsidP="00577A9C">
            <w:pPr>
              <w:autoSpaceDE w:val="0"/>
              <w:autoSpaceDN w:val="0"/>
              <w:adjustRightInd w:val="0"/>
              <w:rPr>
                <w:rFonts w:ascii="Times New Roman" w:hAnsi="Times New Roman"/>
                <w:color w:val="000000"/>
                <w:kern w:val="1"/>
                <w:sz w:val="24"/>
                <w:szCs w:val="24"/>
                <w:lang w:eastAsia="ar-SA"/>
              </w:rPr>
            </w:pPr>
            <w:r w:rsidRPr="00577A9C">
              <w:rPr>
                <w:rFonts w:ascii="Times New Roman" w:hAnsi="Times New Roman" w:cs="Times New Roman"/>
                <w:sz w:val="24"/>
                <w:szCs w:val="24"/>
                <w:lang w:eastAsia="ru-RU"/>
              </w:rPr>
              <w:lastRenderedPageBreak/>
              <w:t xml:space="preserve">На   об’єкт за </w:t>
            </w:r>
            <w:proofErr w:type="spellStart"/>
            <w:r w:rsidRPr="00577A9C">
              <w:rPr>
                <w:rFonts w:ascii="Times New Roman" w:hAnsi="Times New Roman" w:cs="Times New Roman"/>
                <w:sz w:val="24"/>
                <w:szCs w:val="24"/>
                <w:lang w:eastAsia="ru-RU"/>
              </w:rPr>
              <w:t>адресою</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с.Старий</w:t>
            </w:r>
            <w:proofErr w:type="spellEnd"/>
            <w:r w:rsidRPr="00577A9C">
              <w:rPr>
                <w:rFonts w:ascii="Times New Roman" w:hAnsi="Times New Roman" w:cs="Times New Roman"/>
                <w:sz w:val="24"/>
                <w:szCs w:val="24"/>
                <w:lang w:eastAsia="ru-RU"/>
              </w:rPr>
              <w:t xml:space="preserve"> </w:t>
            </w:r>
            <w:proofErr w:type="spellStart"/>
            <w:r w:rsidRPr="00577A9C">
              <w:rPr>
                <w:rFonts w:ascii="Times New Roman" w:hAnsi="Times New Roman" w:cs="Times New Roman"/>
                <w:sz w:val="24"/>
                <w:szCs w:val="24"/>
                <w:lang w:eastAsia="ru-RU"/>
              </w:rPr>
              <w:t>Яричів,вул</w:t>
            </w:r>
            <w:proofErr w:type="spellEnd"/>
            <w:r w:rsidRPr="00577A9C">
              <w:rPr>
                <w:rFonts w:ascii="Times New Roman" w:hAnsi="Times New Roman" w:cs="Times New Roman"/>
                <w:sz w:val="24"/>
                <w:szCs w:val="24"/>
                <w:lang w:eastAsia="ru-RU"/>
              </w:rPr>
              <w:t xml:space="preserve"> Галицька,89</w:t>
            </w:r>
          </w:p>
        </w:tc>
      </w:tr>
    </w:tbl>
    <w:p w14:paraId="1CCE4819"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30B0AD71"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14:paraId="04FA9109"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690F76">
        <w:rPr>
          <w:rFonts w:ascii="Times New Roman" w:eastAsia="Times New Roman" w:hAnsi="Times New Roman" w:cs="Calibri"/>
          <w:color w:val="000000"/>
          <w:kern w:val="1"/>
          <w:sz w:val="24"/>
          <w:szCs w:val="24"/>
          <w:lang w:eastAsia="ar-SA"/>
        </w:rPr>
        <w:t>рт</w:t>
      </w:r>
      <w:proofErr w:type="spellEnd"/>
      <w:r w:rsidRPr="00690F76">
        <w:rPr>
          <w:rFonts w:ascii="Times New Roman" w:eastAsia="Times New Roman" w:hAnsi="Times New Roman" w:cs="Calibri"/>
          <w:color w:val="000000"/>
          <w:kern w:val="1"/>
          <w:sz w:val="24"/>
          <w:szCs w:val="24"/>
          <w:lang w:eastAsia="ar-SA"/>
        </w:rPr>
        <w:t>. ст.).</w:t>
      </w:r>
    </w:p>
    <w:p w14:paraId="1B9AB69A"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14:paraId="661823F4" w14:textId="77777777" w:rsidR="00690F76" w:rsidRDefault="00690F76" w:rsidP="00690F76">
      <w:pPr>
        <w:spacing w:after="0" w:line="240" w:lineRule="auto"/>
        <w:jc w:val="both"/>
        <w:rPr>
          <w:rFonts w:ascii="Times New Roman" w:eastAsia="Times New Roman" w:hAnsi="Times New Roman" w:cs="Times New Roman"/>
          <w:sz w:val="24"/>
          <w:szCs w:val="24"/>
          <w:lang w:eastAsia="uk-UA"/>
        </w:rPr>
      </w:pPr>
    </w:p>
    <w:p w14:paraId="195BEB7E" w14:textId="1C5AE537" w:rsidR="00690F76" w:rsidRPr="00690F76" w:rsidRDefault="00690F76" w:rsidP="00690F76">
      <w:pPr>
        <w:spacing w:after="0" w:line="240" w:lineRule="auto"/>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Нормативно-правові акти:</w:t>
      </w:r>
    </w:p>
    <w:p w14:paraId="7666076E"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Закон України «Про ринок природного газу»;</w:t>
      </w:r>
    </w:p>
    <w:p w14:paraId="4337EBD1"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14:paraId="535E7748"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30.09.2015 № 2493 «Про затвердження Кодексу газотранспортної системи»;</w:t>
      </w:r>
    </w:p>
    <w:p w14:paraId="6A12F47F"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30.09.2015 № 2494 «Про затвердження Кодексу газорозподільних систем»;</w:t>
      </w:r>
    </w:p>
    <w:p w14:paraId="743AA930" w14:textId="6C03418C" w:rsid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53F693F1" w14:textId="35965699" w:rsidR="00690F76" w:rsidRDefault="00690F76" w:rsidP="00690F76">
      <w:pPr>
        <w:suppressAutoHyphens/>
        <w:spacing w:after="0" w:line="240" w:lineRule="auto"/>
        <w:jc w:val="both"/>
        <w:rPr>
          <w:rFonts w:ascii="Times New Roman" w:eastAsia="Times New Roman" w:hAnsi="Times New Roman" w:cs="Times New Roman"/>
          <w:sz w:val="24"/>
          <w:szCs w:val="24"/>
          <w:lang w:eastAsia="uk-UA"/>
        </w:rPr>
      </w:pPr>
    </w:p>
    <w:p w14:paraId="63850173" w14:textId="77777777" w:rsidR="00690F76" w:rsidRPr="00690F76" w:rsidRDefault="00690F76" w:rsidP="00690F76">
      <w:pPr>
        <w:suppressAutoHyphens/>
        <w:spacing w:after="0" w:line="240" w:lineRule="auto"/>
        <w:jc w:val="both"/>
        <w:rPr>
          <w:rFonts w:ascii="Times New Roman" w:eastAsia="Times New Roman" w:hAnsi="Times New Roman" w:cs="Times New Roman"/>
          <w:sz w:val="24"/>
          <w:szCs w:val="24"/>
          <w:lang w:eastAsia="uk-UA"/>
        </w:rPr>
      </w:pPr>
    </w:p>
    <w:p w14:paraId="09799CB6"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50BA41DF" w14:textId="212CDA6A" w:rsidR="00690F76" w:rsidRPr="00690F76" w:rsidRDefault="00690F76" w:rsidP="00690F76">
      <w:pPr>
        <w:spacing w:after="0" w:line="240" w:lineRule="auto"/>
        <w:jc w:val="center"/>
        <w:rPr>
          <w:rFonts w:ascii="Times New Roman" w:eastAsia="Times New Roman" w:hAnsi="Times New Roman" w:cs="Times New Roman"/>
          <w:b/>
          <w:sz w:val="24"/>
          <w:szCs w:val="24"/>
          <w:highlight w:val="white"/>
          <w:lang w:eastAsia="uk-UA"/>
        </w:rPr>
      </w:pPr>
      <w:r w:rsidRPr="00690F76">
        <w:rPr>
          <w:rFonts w:ascii="Times New Roman" w:eastAsia="Times New Roman" w:hAnsi="Times New Roman" w:cs="Times New Roman"/>
          <w:b/>
          <w:sz w:val="24"/>
          <w:szCs w:val="24"/>
          <w:lang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90F76" w:rsidRPr="00690F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63"/>
    <w:rsid w:val="00577A9C"/>
    <w:rsid w:val="00690F76"/>
    <w:rsid w:val="00801C12"/>
    <w:rsid w:val="00865520"/>
    <w:rsid w:val="008673E2"/>
    <w:rsid w:val="008F4FE4"/>
    <w:rsid w:val="009A3135"/>
    <w:rsid w:val="00DC4B9E"/>
    <w:rsid w:val="00E84063"/>
    <w:rsid w:val="00EF1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F1CB"/>
  <w15:chartTrackingRefBased/>
  <w15:docId w15:val="{B9AA339C-F45D-4565-85FC-8A333CA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F76"/>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2236</Words>
  <Characters>1276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2023-03-23T15:22:00Z</dcterms:created>
  <dcterms:modified xsi:type="dcterms:W3CDTF">2023-03-23T15:23:00Z</dcterms:modified>
</cp:coreProperties>
</file>