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048DC579" w:rsidR="00B94261" w:rsidRPr="00132565" w:rsidRDefault="00132565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01.02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E8677B" w:rsidRPr="00E867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565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79F1AA04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3247FE" w:rsidRPr="003247FE">
        <w:rPr>
          <w:rFonts w:ascii="Times New Roman" w:hAnsi="Times New Roman"/>
          <w:b/>
          <w:bCs/>
          <w:color w:val="000000"/>
          <w:sz w:val="24"/>
          <w:szCs w:val="24"/>
        </w:rPr>
        <w:t>ДК 021:2015: 90430000-0 Послуги з відведення стічних вод (Централізоване водовідведення побутових стоків)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080D197A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3247FE" w:rsidRPr="003247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021:2015: 90430000-0 Послуги з відведення стічних вод (Централізоване водовідведення побутових стоків)</w:t>
      </w:r>
      <w:r w:rsidR="003247FE" w:rsidRPr="003247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5987AB50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247FE" w:rsidRPr="003247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021:2015: 90430000-0 Послуги з відведення стічних вод (Централізоване водовідведення побутових стоків)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1B27080C" w:rsidR="00BF3D5F" w:rsidRPr="00D5372D" w:rsidRDefault="003247FE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102 030</w:t>
      </w:r>
      <w:r w:rsidR="00947271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32B53A5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8471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247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32D8912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414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63C876" w14:textId="77777777" w:rsidR="002C33D0" w:rsidRDefault="002C33D0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1151D7F5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7FE" w:rsidRPr="003247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021:2015: 90430000-0 Послуги з відведення стічних вод (Централізоване водовідведення побутових стоків)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3A2AA635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3247FE">
        <w:rPr>
          <w:rFonts w:ascii="Times New Roman" w:eastAsia="Times New Roman" w:hAnsi="Times New Roman" w:cs="Times New Roman"/>
          <w:color w:val="000000"/>
          <w:sz w:val="24"/>
          <w:szCs w:val="24"/>
        </w:rPr>
        <w:t>102 030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08B0CC11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3D0">
        <w:rPr>
          <w:rFonts w:ascii="Times New Roman" w:hAnsi="Times New Roman" w:cs="Times New Roman"/>
          <w:b/>
          <w:sz w:val="24"/>
          <w:szCs w:val="24"/>
        </w:rPr>
        <w:t>0</w:t>
      </w:r>
      <w:r w:rsidR="003247FE">
        <w:rPr>
          <w:rFonts w:ascii="Times New Roman" w:hAnsi="Times New Roman" w:cs="Times New Roman"/>
          <w:b/>
          <w:sz w:val="24"/>
          <w:szCs w:val="24"/>
        </w:rPr>
        <w:t>9</w:t>
      </w:r>
      <w:r w:rsidR="002C33D0">
        <w:rPr>
          <w:rFonts w:ascii="Times New Roman" w:hAnsi="Times New Roman" w:cs="Times New Roman"/>
          <w:b/>
          <w:sz w:val="24"/>
          <w:szCs w:val="24"/>
        </w:rPr>
        <w:t>.02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67706E55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324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32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1FA42EDA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324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наданих послуг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16C4588A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47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67B48860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7847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47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8471B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460B4"/>
    <w:rsid w:val="00047896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B4CA2"/>
    <w:rsid w:val="000C17C9"/>
    <w:rsid w:val="000C1D8A"/>
    <w:rsid w:val="000C5411"/>
    <w:rsid w:val="000D0766"/>
    <w:rsid w:val="000D07FE"/>
    <w:rsid w:val="000D2D30"/>
    <w:rsid w:val="000D6FF6"/>
    <w:rsid w:val="000E7B70"/>
    <w:rsid w:val="000F0A26"/>
    <w:rsid w:val="000F561A"/>
    <w:rsid w:val="00106BDD"/>
    <w:rsid w:val="00107088"/>
    <w:rsid w:val="001115C4"/>
    <w:rsid w:val="00120F84"/>
    <w:rsid w:val="0012141D"/>
    <w:rsid w:val="00122E45"/>
    <w:rsid w:val="00126C6A"/>
    <w:rsid w:val="00132565"/>
    <w:rsid w:val="00133A1A"/>
    <w:rsid w:val="00134A0A"/>
    <w:rsid w:val="00140CBF"/>
    <w:rsid w:val="00144218"/>
    <w:rsid w:val="00146F93"/>
    <w:rsid w:val="00151543"/>
    <w:rsid w:val="00154A12"/>
    <w:rsid w:val="00156718"/>
    <w:rsid w:val="00166040"/>
    <w:rsid w:val="00170689"/>
    <w:rsid w:val="001741D7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C33D0"/>
    <w:rsid w:val="002C6DF7"/>
    <w:rsid w:val="002D1CA3"/>
    <w:rsid w:val="002F0381"/>
    <w:rsid w:val="002F0753"/>
    <w:rsid w:val="002F58B3"/>
    <w:rsid w:val="002F6CD7"/>
    <w:rsid w:val="00300E39"/>
    <w:rsid w:val="0030180E"/>
    <w:rsid w:val="00301A3E"/>
    <w:rsid w:val="00302A72"/>
    <w:rsid w:val="003053C4"/>
    <w:rsid w:val="00310E69"/>
    <w:rsid w:val="00310FF1"/>
    <w:rsid w:val="003247FE"/>
    <w:rsid w:val="00337EE3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3B9F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C6929"/>
    <w:rsid w:val="003D1286"/>
    <w:rsid w:val="003D4B64"/>
    <w:rsid w:val="003E14F4"/>
    <w:rsid w:val="003E54C0"/>
    <w:rsid w:val="003E6E6E"/>
    <w:rsid w:val="003F050D"/>
    <w:rsid w:val="003F0761"/>
    <w:rsid w:val="00402DD9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540E6"/>
    <w:rsid w:val="00461353"/>
    <w:rsid w:val="00466FAF"/>
    <w:rsid w:val="00467044"/>
    <w:rsid w:val="00467E35"/>
    <w:rsid w:val="00476070"/>
    <w:rsid w:val="0047696E"/>
    <w:rsid w:val="004771EA"/>
    <w:rsid w:val="00484A8D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A4A06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31920"/>
    <w:rsid w:val="00640F02"/>
    <w:rsid w:val="006470DD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003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4140D"/>
    <w:rsid w:val="007564D3"/>
    <w:rsid w:val="007573C9"/>
    <w:rsid w:val="007641F8"/>
    <w:rsid w:val="0076570C"/>
    <w:rsid w:val="00767DAD"/>
    <w:rsid w:val="00771F51"/>
    <w:rsid w:val="0077525B"/>
    <w:rsid w:val="0078429A"/>
    <w:rsid w:val="0078471B"/>
    <w:rsid w:val="00797A3F"/>
    <w:rsid w:val="007A142B"/>
    <w:rsid w:val="007A58ED"/>
    <w:rsid w:val="007B1636"/>
    <w:rsid w:val="007B2E53"/>
    <w:rsid w:val="007C1C4E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00AE"/>
    <w:rsid w:val="00822DBA"/>
    <w:rsid w:val="00832B39"/>
    <w:rsid w:val="008355A4"/>
    <w:rsid w:val="00835828"/>
    <w:rsid w:val="008445AA"/>
    <w:rsid w:val="00853145"/>
    <w:rsid w:val="00853FE0"/>
    <w:rsid w:val="00854C63"/>
    <w:rsid w:val="00856B0B"/>
    <w:rsid w:val="00870C7F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271"/>
    <w:rsid w:val="00947F15"/>
    <w:rsid w:val="009522DE"/>
    <w:rsid w:val="009547A1"/>
    <w:rsid w:val="009602F7"/>
    <w:rsid w:val="0096246A"/>
    <w:rsid w:val="009702D0"/>
    <w:rsid w:val="009724EA"/>
    <w:rsid w:val="00972F99"/>
    <w:rsid w:val="00974D93"/>
    <w:rsid w:val="009A052F"/>
    <w:rsid w:val="009A2425"/>
    <w:rsid w:val="009A38EF"/>
    <w:rsid w:val="009B0069"/>
    <w:rsid w:val="009B2527"/>
    <w:rsid w:val="009B7AAA"/>
    <w:rsid w:val="009C6314"/>
    <w:rsid w:val="009D38C6"/>
    <w:rsid w:val="009D478C"/>
    <w:rsid w:val="009D5008"/>
    <w:rsid w:val="009E0C81"/>
    <w:rsid w:val="009E0D62"/>
    <w:rsid w:val="009E3D15"/>
    <w:rsid w:val="009E5180"/>
    <w:rsid w:val="009F6C43"/>
    <w:rsid w:val="009F6FF4"/>
    <w:rsid w:val="00A013D2"/>
    <w:rsid w:val="00A0217B"/>
    <w:rsid w:val="00A03B58"/>
    <w:rsid w:val="00A06ED8"/>
    <w:rsid w:val="00A1188A"/>
    <w:rsid w:val="00A1237A"/>
    <w:rsid w:val="00A177F2"/>
    <w:rsid w:val="00A17FCC"/>
    <w:rsid w:val="00A35C08"/>
    <w:rsid w:val="00A366EA"/>
    <w:rsid w:val="00A377A3"/>
    <w:rsid w:val="00A37A99"/>
    <w:rsid w:val="00A5018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0B3D"/>
    <w:rsid w:val="00A922BB"/>
    <w:rsid w:val="00A94166"/>
    <w:rsid w:val="00A97E22"/>
    <w:rsid w:val="00AA7A87"/>
    <w:rsid w:val="00AB5DA7"/>
    <w:rsid w:val="00AB7E9A"/>
    <w:rsid w:val="00AC2787"/>
    <w:rsid w:val="00AD7244"/>
    <w:rsid w:val="00AE6389"/>
    <w:rsid w:val="00AE6EF2"/>
    <w:rsid w:val="00AE7A85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37643"/>
    <w:rsid w:val="00C450B7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07ED"/>
    <w:rsid w:val="00CA2141"/>
    <w:rsid w:val="00CA7418"/>
    <w:rsid w:val="00CB5180"/>
    <w:rsid w:val="00CC2F48"/>
    <w:rsid w:val="00CC356A"/>
    <w:rsid w:val="00CC3E34"/>
    <w:rsid w:val="00CC605D"/>
    <w:rsid w:val="00CD2AB0"/>
    <w:rsid w:val="00CE0997"/>
    <w:rsid w:val="00CE3725"/>
    <w:rsid w:val="00CE51A2"/>
    <w:rsid w:val="00CF154A"/>
    <w:rsid w:val="00CF24A2"/>
    <w:rsid w:val="00CF2FDD"/>
    <w:rsid w:val="00D01997"/>
    <w:rsid w:val="00D14842"/>
    <w:rsid w:val="00D164E3"/>
    <w:rsid w:val="00D20A2B"/>
    <w:rsid w:val="00D21894"/>
    <w:rsid w:val="00D242C9"/>
    <w:rsid w:val="00D24E03"/>
    <w:rsid w:val="00D33860"/>
    <w:rsid w:val="00D34813"/>
    <w:rsid w:val="00D3523F"/>
    <w:rsid w:val="00D424C1"/>
    <w:rsid w:val="00D42E38"/>
    <w:rsid w:val="00D461BE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C658F"/>
    <w:rsid w:val="00DD19B6"/>
    <w:rsid w:val="00DD4FD7"/>
    <w:rsid w:val="00DD547B"/>
    <w:rsid w:val="00DD70F4"/>
    <w:rsid w:val="00DF65D3"/>
    <w:rsid w:val="00E0490B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85452"/>
    <w:rsid w:val="00E8677B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0662E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75F89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7353</Words>
  <Characters>4192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8</cp:revision>
  <cp:lastPrinted>2024-02-01T08:48:00Z</cp:lastPrinted>
  <dcterms:created xsi:type="dcterms:W3CDTF">2024-02-01T08:45:00Z</dcterms:created>
  <dcterms:modified xsi:type="dcterms:W3CDTF">2024-02-01T08:51:00Z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