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8510" w14:textId="77777777" w:rsidR="00722E43" w:rsidRDefault="003D7213" w:rsidP="003D721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Перелік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7A73">
        <w:rPr>
          <w:rFonts w:ascii="Times New Roman" w:hAnsi="Times New Roman"/>
          <w:sz w:val="28"/>
          <w:szCs w:val="28"/>
          <w:lang w:val="uk-UA"/>
        </w:rPr>
        <w:t xml:space="preserve">змін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97A73">
        <w:rPr>
          <w:rFonts w:ascii="Times New Roman" w:hAnsi="Times New Roman"/>
          <w:sz w:val="28"/>
          <w:szCs w:val="28"/>
          <w:lang w:val="uk-UA"/>
        </w:rPr>
        <w:t xml:space="preserve"> тендерн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E97A73">
        <w:rPr>
          <w:rFonts w:ascii="Times New Roman" w:hAnsi="Times New Roman"/>
          <w:sz w:val="28"/>
          <w:szCs w:val="28"/>
          <w:lang w:val="uk-UA"/>
        </w:rPr>
        <w:t xml:space="preserve"> документації</w:t>
      </w:r>
      <w:r w:rsidRPr="00E97A73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E97A73">
        <w:rPr>
          <w:rFonts w:ascii="Times New Roman" w:hAnsi="Times New Roman"/>
          <w:sz w:val="28"/>
          <w:szCs w:val="28"/>
          <w:lang w:val="uk-UA"/>
        </w:rPr>
        <w:t xml:space="preserve">щодо закупівлі </w:t>
      </w:r>
    </w:p>
    <w:p w14:paraId="6B1028BF" w14:textId="58F9A8E7" w:rsidR="00BF5DDA" w:rsidRPr="00BF5DDA" w:rsidRDefault="00BF5DDA" w:rsidP="00BF5DDA">
      <w:pPr>
        <w:pStyle w:val="1"/>
        <w:shd w:val="clear" w:color="auto" w:fill="FDFEFD"/>
        <w:spacing w:before="0" w:line="60" w:lineRule="atLeast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BF5DDA">
        <w:rPr>
          <w:rFonts w:ascii="Times New Roman" w:hAnsi="Times New Roman"/>
          <w:color w:val="auto"/>
          <w:sz w:val="28"/>
          <w:szCs w:val="28"/>
        </w:rPr>
        <w:t>робіт з</w:t>
      </w:r>
      <w:r w:rsidRPr="00BF5DDA">
        <w:rPr>
          <w:rFonts w:ascii="Times New Roman" w:hAnsi="Times New Roman"/>
          <w:sz w:val="28"/>
          <w:szCs w:val="28"/>
        </w:rPr>
        <w:t xml:space="preserve"> </w:t>
      </w:r>
      <w:r w:rsidRPr="00BF5DDA">
        <w:rPr>
          <w:rFonts w:ascii="Times New Roman" w:hAnsi="Times New Roman"/>
          <w:color w:val="auto"/>
          <w:sz w:val="28"/>
          <w:szCs w:val="28"/>
        </w:rPr>
        <w:t>розроблення проектної документації стадії Робочий проект «РП» з будівництва мереж електропостачання для житлового будинку по вул. Академіка Булаховського, 5 у м. Києві</w:t>
      </w:r>
    </w:p>
    <w:p w14:paraId="0BB47588" w14:textId="65F82364" w:rsidR="003D7213" w:rsidRPr="00BF5DDA" w:rsidRDefault="003D7213" w:rsidP="003D721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521"/>
        <w:gridCol w:w="5830"/>
        <w:gridCol w:w="5830"/>
      </w:tblGrid>
      <w:tr w:rsidR="003D7213" w:rsidRPr="006C3B7A" w14:paraId="25A7E77B" w14:textId="77777777" w:rsidTr="00353A18">
        <w:tc>
          <w:tcPr>
            <w:tcW w:w="555" w:type="dxa"/>
            <w:vAlign w:val="center"/>
          </w:tcPr>
          <w:p w14:paraId="250D9728" w14:textId="77777777" w:rsidR="003D7213" w:rsidRPr="0067474E" w:rsidRDefault="003D7213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474E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21" w:type="dxa"/>
          </w:tcPr>
          <w:p w14:paraId="156CAE94" w14:textId="5D856581" w:rsidR="003D7213" w:rsidRPr="0067474E" w:rsidRDefault="003D7213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474E">
              <w:rPr>
                <w:rFonts w:ascii="Times New Roman" w:hAnsi="Times New Roman"/>
                <w:sz w:val="28"/>
                <w:szCs w:val="28"/>
                <w:lang w:val="uk-UA"/>
              </w:rPr>
              <w:t>Пункт, розділ</w:t>
            </w:r>
            <w:r w:rsidR="00353A18">
              <w:rPr>
                <w:rFonts w:ascii="Times New Roman" w:hAnsi="Times New Roman"/>
                <w:sz w:val="28"/>
                <w:szCs w:val="28"/>
                <w:lang w:val="uk-UA"/>
              </w:rPr>
              <w:t>, додаток</w:t>
            </w:r>
            <w:r w:rsidRPr="006747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документації (в якому внесено зміни)</w:t>
            </w:r>
          </w:p>
        </w:tc>
        <w:tc>
          <w:tcPr>
            <w:tcW w:w="5830" w:type="dxa"/>
            <w:vAlign w:val="center"/>
          </w:tcPr>
          <w:p w14:paraId="05721D77" w14:textId="77777777" w:rsidR="003D7213" w:rsidRPr="0067474E" w:rsidRDefault="003D7213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474E">
              <w:rPr>
                <w:rFonts w:ascii="Times New Roman" w:hAnsi="Times New Roman"/>
                <w:sz w:val="28"/>
                <w:szCs w:val="28"/>
                <w:lang w:val="uk-UA"/>
              </w:rPr>
              <w:t>Стара редакція</w:t>
            </w:r>
          </w:p>
        </w:tc>
        <w:tc>
          <w:tcPr>
            <w:tcW w:w="5830" w:type="dxa"/>
            <w:vAlign w:val="center"/>
          </w:tcPr>
          <w:p w14:paraId="05E10C77" w14:textId="77777777" w:rsidR="003D7213" w:rsidRPr="0067474E" w:rsidRDefault="003D7213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474E">
              <w:rPr>
                <w:rFonts w:ascii="Times New Roman" w:hAnsi="Times New Roman"/>
                <w:sz w:val="28"/>
                <w:szCs w:val="28"/>
                <w:lang w:val="uk-UA"/>
              </w:rPr>
              <w:t>Нова редакція</w:t>
            </w:r>
          </w:p>
        </w:tc>
      </w:tr>
      <w:tr w:rsidR="00341B7C" w:rsidRPr="00697262" w14:paraId="2A7F3CAB" w14:textId="77777777" w:rsidTr="00353A18">
        <w:tc>
          <w:tcPr>
            <w:tcW w:w="555" w:type="dxa"/>
            <w:vAlign w:val="center"/>
          </w:tcPr>
          <w:p w14:paraId="356820A4" w14:textId="77777777" w:rsidR="00341B7C" w:rsidRPr="0067474E" w:rsidRDefault="00341B7C" w:rsidP="00341B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21" w:type="dxa"/>
            <w:vAlign w:val="center"/>
          </w:tcPr>
          <w:p w14:paraId="3458B2A4" w14:textId="0B379CAF" w:rsidR="00341B7C" w:rsidRPr="00353A18" w:rsidRDefault="00341B7C" w:rsidP="00341B7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3A1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Пункт 6 розділу </w:t>
            </w:r>
            <w:bookmarkStart w:id="0" w:name="_Toc410576438"/>
            <w:r w:rsidRPr="00353A18">
              <w:rPr>
                <w:rFonts w:ascii="Times New Roman" w:hAnsi="Times New Roman" w:cs="Times New Roman"/>
                <w:sz w:val="22"/>
                <w:szCs w:val="22"/>
              </w:rPr>
              <w:t>ІІІ Інструкція з підготовки тендерної пропозиції</w:t>
            </w:r>
            <w:bookmarkEnd w:id="0"/>
          </w:p>
        </w:tc>
        <w:tc>
          <w:tcPr>
            <w:tcW w:w="5830" w:type="dxa"/>
          </w:tcPr>
          <w:p w14:paraId="4C1A2683" w14:textId="77777777" w:rsidR="00341B7C" w:rsidRPr="00353A18" w:rsidRDefault="00341B7C" w:rsidP="00341B7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Об’єктом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робіт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є предметом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є: </w:t>
            </w:r>
          </w:p>
          <w:p w14:paraId="22444A41" w14:textId="77777777" w:rsidR="00341B7C" w:rsidRPr="00353A18" w:rsidRDefault="00341B7C" w:rsidP="00341B7C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   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Розроблення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проектної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документації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стадії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Робочий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проект «РП» з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будівництва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мереж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електропостачання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житлового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будинку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вул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Академіка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Булаховського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, 5 у м.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Києві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30E17136" w14:textId="77777777" w:rsidR="00341B7C" w:rsidRPr="00353A18" w:rsidRDefault="00341B7C" w:rsidP="00341B7C">
            <w:pPr>
              <w:widowControl w:val="0"/>
              <w:spacing w:after="0"/>
              <w:ind w:right="113" w:firstLine="388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Перелік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і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обсяги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робіт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які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підлягають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виконанню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в рамках договору про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закупівлю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подані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 w:eastAsia="uk-UA"/>
              </w:rPr>
              <w:t>Додатку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 w:eastAsia="uk-UA"/>
              </w:rPr>
              <w:t xml:space="preserve"> № 3 «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</w:t>
            </w:r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авдання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проектування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 w:eastAsia="uk-UA"/>
              </w:rPr>
              <w:t xml:space="preserve">» </w:t>
            </w:r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до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цієї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Документації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. </w:t>
            </w:r>
          </w:p>
          <w:p w14:paraId="2CD20CFB" w14:textId="77777777" w:rsidR="00341B7C" w:rsidRPr="00353A18" w:rsidRDefault="00341B7C" w:rsidP="00341B7C">
            <w:pPr>
              <w:widowControl w:val="0"/>
              <w:spacing w:after="0"/>
              <w:ind w:firstLine="269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353A1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Учасники</w:t>
            </w:r>
            <w:proofErr w:type="spellEnd"/>
            <w:r w:rsidRPr="00353A1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процедури</w:t>
            </w:r>
            <w:proofErr w:type="spellEnd"/>
            <w:r w:rsidRPr="00353A1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закупівлі</w:t>
            </w:r>
            <w:proofErr w:type="spellEnd"/>
            <w:r w:rsidRPr="00353A1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повинні</w:t>
            </w:r>
            <w:proofErr w:type="spellEnd"/>
            <w:r w:rsidRPr="00353A1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надати</w:t>
            </w:r>
            <w:proofErr w:type="spellEnd"/>
            <w:r w:rsidRPr="00353A1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353A1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складі</w:t>
            </w:r>
            <w:proofErr w:type="spellEnd"/>
            <w:r w:rsidRPr="00353A1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тендерної</w:t>
            </w:r>
            <w:proofErr w:type="spellEnd"/>
            <w:r w:rsidRPr="00353A1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пропозиції</w:t>
            </w:r>
            <w:proofErr w:type="spellEnd"/>
            <w:r w:rsidRPr="00353A1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14:paraId="1148C491" w14:textId="77777777" w:rsidR="00341B7C" w:rsidRPr="00353A18" w:rsidRDefault="00341B7C" w:rsidP="00341B7C">
            <w:pPr>
              <w:numPr>
                <w:ilvl w:val="0"/>
                <w:numId w:val="1"/>
              </w:numPr>
              <w:spacing w:after="0"/>
              <w:ind w:left="0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proofErr w:type="spellStart"/>
            <w:r w:rsidRPr="00353A18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Гарантійний</w:t>
            </w:r>
            <w:proofErr w:type="spellEnd"/>
            <w:r w:rsidRPr="00353A18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лист</w:t>
            </w:r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довільній</w:t>
            </w:r>
            <w:proofErr w:type="spellEnd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формі</w:t>
            </w:r>
            <w:proofErr w:type="spellEnd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завірений</w:t>
            </w:r>
            <w:proofErr w:type="spellEnd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підписом</w:t>
            </w:r>
            <w:proofErr w:type="spellEnd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уповноваженої</w:t>
            </w:r>
            <w:proofErr w:type="spellEnd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особи, про </w:t>
            </w:r>
            <w:proofErr w:type="spellStart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технічні</w:t>
            </w:r>
            <w:proofErr w:type="spellEnd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якісні</w:t>
            </w:r>
            <w:proofErr w:type="spellEnd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характеристики предмета </w:t>
            </w:r>
            <w:proofErr w:type="spellStart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закупівлі</w:t>
            </w:r>
            <w:proofErr w:type="spellEnd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які</w:t>
            </w:r>
            <w:proofErr w:type="spellEnd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передбачають</w:t>
            </w:r>
            <w:proofErr w:type="spellEnd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або</w:t>
            </w:r>
            <w:proofErr w:type="spellEnd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будуть</w:t>
            </w:r>
            <w:proofErr w:type="spellEnd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передбачати</w:t>
            </w:r>
            <w:proofErr w:type="spellEnd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необхідність</w:t>
            </w:r>
            <w:proofErr w:type="spellEnd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lang w:val="ru-RU"/>
              </w:rPr>
              <w:t>застосування</w:t>
            </w:r>
            <w:proofErr w:type="spellEnd"/>
            <w:r w:rsidRPr="00353A18"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lang w:val="ru-RU"/>
              </w:rPr>
              <w:t>заходів</w:t>
            </w:r>
            <w:proofErr w:type="spellEnd"/>
            <w:r w:rsidRPr="00353A18"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lang w:val="ru-RU"/>
              </w:rPr>
              <w:t>із</w:t>
            </w:r>
            <w:proofErr w:type="spellEnd"/>
            <w:r w:rsidRPr="00353A18"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lang w:val="ru-RU"/>
              </w:rPr>
              <w:t>захисту</w:t>
            </w:r>
            <w:proofErr w:type="spellEnd"/>
            <w:r w:rsidRPr="00353A18"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lang w:val="ru-RU"/>
              </w:rPr>
              <w:t>довкілля</w:t>
            </w:r>
            <w:proofErr w:type="spellEnd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. ​</w:t>
            </w:r>
          </w:p>
          <w:p w14:paraId="1831D5B1" w14:textId="77777777" w:rsidR="00341B7C" w:rsidRPr="00353A18" w:rsidRDefault="00341B7C" w:rsidP="00341B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Для </w:t>
            </w:r>
            <w:proofErr w:type="spellStart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підтвердження</w:t>
            </w:r>
            <w:proofErr w:type="spellEnd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відповідності</w:t>
            </w:r>
            <w:proofErr w:type="spellEnd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пропозиції</w:t>
            </w:r>
            <w:proofErr w:type="spellEnd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учасника</w:t>
            </w:r>
            <w:proofErr w:type="spellEnd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закупівлі</w:t>
            </w:r>
            <w:proofErr w:type="spellEnd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технічним</w:t>
            </w:r>
            <w:proofErr w:type="spellEnd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якісним</w:t>
            </w:r>
            <w:proofErr w:type="spellEnd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кількісним</w:t>
            </w:r>
            <w:proofErr w:type="spellEnd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іншим</w:t>
            </w:r>
            <w:proofErr w:type="spellEnd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вимогам</w:t>
            </w:r>
            <w:proofErr w:type="spellEnd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замовника</w:t>
            </w:r>
            <w:proofErr w:type="spellEnd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учасник</w:t>
            </w:r>
            <w:proofErr w:type="spellEnd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складі</w:t>
            </w:r>
            <w:proofErr w:type="spellEnd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пропозиції</w:t>
            </w:r>
            <w:proofErr w:type="spellEnd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повинен </w:t>
            </w:r>
            <w:proofErr w:type="spellStart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надати</w:t>
            </w:r>
            <w:proofErr w:type="spellEnd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:</w:t>
            </w:r>
          </w:p>
          <w:p w14:paraId="4ADF9395" w14:textId="77777777" w:rsidR="00341B7C" w:rsidRPr="00353A18" w:rsidRDefault="00341B7C" w:rsidP="00341B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розрахунок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договірної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ціни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* </w:t>
            </w:r>
          </w:p>
          <w:p w14:paraId="7E2DA260" w14:textId="77777777" w:rsidR="00341B7C" w:rsidRPr="00353A18" w:rsidRDefault="00341B7C" w:rsidP="00341B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*До складу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цієї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ціни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Учасник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включає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прямі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загально-виробничі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інші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витрати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будівництво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об’єкту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прибуток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кошти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покриття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адміністративних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витрат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будівельних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організацій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кошти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покриття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додаткових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витрат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пов’язаних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інфляційними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процесами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розрахованих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підставі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прогнозованих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рівнів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інфляції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наступні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періоди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ризиків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що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схвалюються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Кабінетом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Міністрів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кошти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сплату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податків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зборів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обов'язкових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платежів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37BB489E" w14:textId="77777777" w:rsidR="00341B7C" w:rsidRPr="00353A18" w:rsidRDefault="00341B7C" w:rsidP="00341B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пояснювальну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записку;</w:t>
            </w:r>
          </w:p>
          <w:p w14:paraId="26DDA619" w14:textId="77777777" w:rsidR="00341B7C" w:rsidRPr="00353A18" w:rsidRDefault="00341B7C" w:rsidP="00341B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-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локальний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кошторис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мають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складені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відповідно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технічної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специфікації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proofErr w:type="gram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урахуванням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технологічного</w:t>
            </w:r>
            <w:proofErr w:type="spellEnd"/>
            <w:proofErr w:type="gram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процесу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)**;</w:t>
            </w:r>
          </w:p>
          <w:p w14:paraId="2039D89D" w14:textId="77777777" w:rsidR="00341B7C" w:rsidRPr="00353A18" w:rsidRDefault="00341B7C" w:rsidP="00341B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підсумкову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відомість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ресурсів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14:paraId="6637B61B" w14:textId="77777777" w:rsidR="00341B7C" w:rsidRPr="00353A18" w:rsidRDefault="00341B7C" w:rsidP="00341B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розрахунок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загальновиробничих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витрат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локального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кошторису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14:paraId="0252170F" w14:textId="77777777" w:rsidR="00341B7C" w:rsidRPr="00353A18" w:rsidRDefault="00341B7C" w:rsidP="00341B7C">
            <w:pPr>
              <w:pStyle w:val="1"/>
              <w:pBdr>
                <w:left w:val="single" w:sz="36" w:space="15" w:color="4B84BF"/>
              </w:pBdr>
              <w:spacing w:befor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353A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Договірна ціна учасника повинна бути розрахована відповідно до наказу </w:t>
            </w:r>
            <w:proofErr w:type="spellStart"/>
            <w:r w:rsidRPr="00353A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Мінрегіону</w:t>
            </w:r>
            <w:proofErr w:type="spellEnd"/>
            <w:r w:rsidRPr="00353A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3A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діючуго</w:t>
            </w:r>
            <w:proofErr w:type="spellEnd"/>
            <w:r w:rsidRPr="00353A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час проходження експертизи.</w:t>
            </w:r>
          </w:p>
          <w:p w14:paraId="224B477C" w14:textId="77777777" w:rsidR="00341B7C" w:rsidRPr="00353A18" w:rsidRDefault="00341B7C" w:rsidP="00341B7C">
            <w:pPr>
              <w:spacing w:after="0"/>
              <w:ind w:firstLine="44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Локальні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кошториси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розрахунки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договірної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ціни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повинні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розраховуватись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використанням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будь-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якого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рекомендованого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Мінрегіоном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програмного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комплексу, в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якому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враховані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останні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зміни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ціноутворення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14:paraId="3D0219E5" w14:textId="77777777" w:rsidR="00341B7C" w:rsidRPr="00353A18" w:rsidRDefault="00341B7C" w:rsidP="00341B7C">
            <w:pPr>
              <w:widowControl w:val="0"/>
              <w:spacing w:after="0"/>
              <w:ind w:right="113" w:firstLine="388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**</w:t>
            </w:r>
            <w:proofErr w:type="spellStart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>Примітка</w:t>
            </w:r>
            <w:proofErr w:type="spellEnd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 xml:space="preserve">: </w:t>
            </w:r>
            <w:proofErr w:type="spellStart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>документи</w:t>
            </w:r>
            <w:proofErr w:type="spellEnd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>мають</w:t>
            </w:r>
            <w:proofErr w:type="spellEnd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 xml:space="preserve"> бути </w:t>
            </w:r>
            <w:proofErr w:type="spellStart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>подані</w:t>
            </w:r>
            <w:proofErr w:type="spellEnd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>Учасником</w:t>
            </w:r>
            <w:proofErr w:type="spellEnd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 xml:space="preserve"> в </w:t>
            </w:r>
            <w:proofErr w:type="spellStart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>складі</w:t>
            </w:r>
            <w:proofErr w:type="spellEnd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>тендерної</w:t>
            </w:r>
            <w:proofErr w:type="spellEnd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>пропозиції</w:t>
            </w:r>
            <w:proofErr w:type="spellEnd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 xml:space="preserve"> шляхом </w:t>
            </w:r>
            <w:proofErr w:type="spellStart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>завантаження</w:t>
            </w:r>
            <w:proofErr w:type="spellEnd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 xml:space="preserve"> в систему у </w:t>
            </w:r>
            <w:proofErr w:type="spellStart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>вигляді</w:t>
            </w:r>
            <w:proofErr w:type="spellEnd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>окремого</w:t>
            </w:r>
            <w:proofErr w:type="spellEnd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>електронного</w:t>
            </w:r>
            <w:proofErr w:type="spellEnd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 xml:space="preserve"> файлу у </w:t>
            </w:r>
            <w:proofErr w:type="spellStart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>форматі</w:t>
            </w:r>
            <w:proofErr w:type="spellEnd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 xml:space="preserve"> </w:t>
            </w:r>
            <w:r w:rsidRPr="00353A18">
              <w:rPr>
                <w:rFonts w:ascii="Times New Roman" w:hAnsi="Times New Roman"/>
                <w:i/>
                <w:sz w:val="20"/>
                <w:szCs w:val="20"/>
                <w:lang w:eastAsia="uk-UA"/>
              </w:rPr>
              <w:t>Microsoft</w:t>
            </w:r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>.</w:t>
            </w:r>
            <w:r w:rsidRPr="00353A18">
              <w:rPr>
                <w:rFonts w:ascii="Times New Roman" w:hAnsi="Times New Roman"/>
                <w:i/>
                <w:sz w:val="20"/>
                <w:szCs w:val="20"/>
                <w:lang w:eastAsia="uk-UA"/>
              </w:rPr>
              <w:t>doc</w:t>
            </w:r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>додатково</w:t>
            </w:r>
            <w:proofErr w:type="spellEnd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 xml:space="preserve"> в </w:t>
            </w:r>
            <w:proofErr w:type="spellStart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>програмному</w:t>
            </w:r>
            <w:proofErr w:type="spellEnd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>забезпечені</w:t>
            </w:r>
            <w:proofErr w:type="spellEnd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 xml:space="preserve"> АВК </w:t>
            </w:r>
            <w:proofErr w:type="spellStart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>програмному</w:t>
            </w:r>
            <w:proofErr w:type="spellEnd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>комплексі</w:t>
            </w:r>
            <w:proofErr w:type="spellEnd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>який</w:t>
            </w:r>
            <w:proofErr w:type="spellEnd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>взаємодіє</w:t>
            </w:r>
            <w:proofErr w:type="spellEnd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 xml:space="preserve"> з ним в </w:t>
            </w:r>
            <w:proofErr w:type="spellStart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>частині</w:t>
            </w:r>
            <w:proofErr w:type="spellEnd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>передачі</w:t>
            </w:r>
            <w:proofErr w:type="spellEnd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>кошторисної</w:t>
            </w:r>
            <w:proofErr w:type="spellEnd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>документації</w:t>
            </w:r>
            <w:proofErr w:type="spellEnd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>розрахунків</w:t>
            </w:r>
            <w:proofErr w:type="spellEnd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>договірних</w:t>
            </w:r>
            <w:proofErr w:type="spellEnd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i/>
                <w:sz w:val="20"/>
                <w:szCs w:val="20"/>
                <w:lang w:val="ru-RU" w:eastAsia="uk-UA"/>
              </w:rPr>
              <w:t>цін</w:t>
            </w:r>
            <w:proofErr w:type="spellEnd"/>
          </w:p>
          <w:p w14:paraId="14AD7017" w14:textId="77777777" w:rsidR="00341B7C" w:rsidRPr="00353A18" w:rsidRDefault="00341B7C" w:rsidP="00341B7C">
            <w:pPr>
              <w:widowControl w:val="0"/>
              <w:spacing w:after="0"/>
              <w:ind w:right="113" w:firstLine="38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uk-UA"/>
              </w:rPr>
            </w:pPr>
            <w:proofErr w:type="spellStart"/>
            <w:r w:rsidRPr="00353A18">
              <w:rPr>
                <w:rFonts w:ascii="Times New Roman" w:hAnsi="Times New Roman"/>
                <w:b/>
                <w:sz w:val="20"/>
                <w:szCs w:val="20"/>
                <w:lang w:val="ru-RU" w:eastAsia="uk-UA"/>
              </w:rPr>
              <w:t>Розрахунок</w:t>
            </w:r>
            <w:proofErr w:type="spellEnd"/>
            <w:r w:rsidRPr="00353A18">
              <w:rPr>
                <w:rFonts w:ascii="Times New Roman" w:hAnsi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sz w:val="20"/>
                <w:szCs w:val="20"/>
                <w:lang w:val="ru-RU" w:eastAsia="uk-UA"/>
              </w:rPr>
              <w:t>ціни</w:t>
            </w:r>
            <w:proofErr w:type="spellEnd"/>
            <w:r w:rsidRPr="00353A18">
              <w:rPr>
                <w:rFonts w:ascii="Times New Roman" w:hAnsi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sz w:val="20"/>
                <w:szCs w:val="20"/>
                <w:lang w:val="ru-RU" w:eastAsia="uk-UA"/>
              </w:rPr>
              <w:t>тендерної</w:t>
            </w:r>
            <w:proofErr w:type="spellEnd"/>
            <w:r w:rsidRPr="00353A18">
              <w:rPr>
                <w:rFonts w:ascii="Times New Roman" w:hAnsi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sz w:val="20"/>
                <w:szCs w:val="20"/>
                <w:lang w:val="ru-RU" w:eastAsia="uk-UA"/>
              </w:rPr>
              <w:t>пропозиції</w:t>
            </w:r>
            <w:proofErr w:type="spellEnd"/>
          </w:p>
          <w:p w14:paraId="5CB1EAE2" w14:textId="77777777" w:rsidR="00341B7C" w:rsidRPr="00353A18" w:rsidRDefault="00341B7C" w:rsidP="00341B7C">
            <w:pPr>
              <w:widowControl w:val="0"/>
              <w:spacing w:after="0"/>
              <w:ind w:right="113" w:firstLine="388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Ціна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тендерної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пропозиції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учасника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повинна бути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визначена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за твердою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договірною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ціною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згідно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наказу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Мінрегіону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час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подання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цінової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пропозиції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</w:p>
          <w:p w14:paraId="308CD9B6" w14:textId="77777777" w:rsidR="00341B7C" w:rsidRPr="00353A18" w:rsidRDefault="00341B7C" w:rsidP="00341B7C">
            <w:pPr>
              <w:widowControl w:val="0"/>
              <w:spacing w:after="0"/>
              <w:ind w:right="113" w:firstLine="388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Ціна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тендерної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пропозиції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Учасника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означає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суму</w:t>
            </w:r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br/>
              <w:t xml:space="preserve">(з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урахуванням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ПДВ), </w:t>
            </w:r>
            <w:proofErr w:type="gram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за яку</w:t>
            </w:r>
            <w:proofErr w:type="gram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Учасник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зобов’язується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виконати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всі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види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робіт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згідно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завдання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на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проектування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визначених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 w:eastAsia="uk-UA"/>
              </w:rPr>
              <w:t xml:space="preserve">у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 w:eastAsia="uk-UA"/>
              </w:rPr>
              <w:t>Додатку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 w:eastAsia="uk-UA"/>
              </w:rPr>
              <w:t xml:space="preserve"> 3 до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 w:eastAsia="uk-UA"/>
              </w:rPr>
              <w:t>тендерної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 w:eastAsia="uk-UA"/>
              </w:rPr>
              <w:t>документації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., та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врахуванням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проходження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експертизи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проектної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документації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.</w:t>
            </w:r>
          </w:p>
          <w:p w14:paraId="2688ED64" w14:textId="77777777" w:rsidR="00341B7C" w:rsidRPr="00353A18" w:rsidRDefault="00341B7C" w:rsidP="00341B7C">
            <w:pPr>
              <w:widowControl w:val="0"/>
              <w:spacing w:after="0"/>
              <w:ind w:right="113" w:firstLine="388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Учасник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визначає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вартість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робіт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proofErr w:type="gram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які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він</w:t>
            </w:r>
            <w:proofErr w:type="spellEnd"/>
            <w:proofErr w:type="gram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пропонує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виконати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за Договором, з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урахуванням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усіх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своїх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витрат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податків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і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зборів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сплачуються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мають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бути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сплачені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(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витрати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на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страхування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інші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витрати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). До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розрахунку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ціни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входять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усі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види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робіт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, у тому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числі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й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ті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які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доручатимуться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для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виконання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третім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особам. Не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врахована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Учасником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вартість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окремих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робіт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не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сплачуються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Замовником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окремо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, а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витрати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на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їх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виконання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вважаються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врахованими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загальній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його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ціні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тендерної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пропозиції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. </w:t>
            </w:r>
          </w:p>
          <w:p w14:paraId="6E07D9BC" w14:textId="77777777" w:rsidR="00341B7C" w:rsidRPr="00353A18" w:rsidRDefault="00341B7C" w:rsidP="00341B7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Ціна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договору про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закупівлю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залишається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незмінною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крім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випадків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передбачених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наказу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Мінрегіону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01.11.2021 № 281 «Про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затвердження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кошторисних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норм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будівництві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визначених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ст. 41 Закону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України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«Про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публічні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».</w:t>
            </w:r>
          </w:p>
          <w:p w14:paraId="3E38FB48" w14:textId="77777777" w:rsidR="00341B7C" w:rsidRPr="00353A18" w:rsidRDefault="00341B7C" w:rsidP="00341B7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lastRenderedPageBreak/>
              <w:t>Підстава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для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перерахунку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договірної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ціни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повинна бути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обґрунтованою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та документально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підтвердженою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Вартість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пропозиції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всі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інші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ціни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повинні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бути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чітко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визначені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. </w:t>
            </w:r>
          </w:p>
          <w:p w14:paraId="390020BC" w14:textId="2B0CC7E8" w:rsidR="00341B7C" w:rsidRPr="00353A18" w:rsidRDefault="00341B7C" w:rsidP="00341B7C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Учасник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відповідає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за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одержання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всіх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необхідних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дозволів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ліцензій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сертифікатів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на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роботи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запропоновані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на торги та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інших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документів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пов’язаних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із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поданням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ціни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тендерної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пропозиції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самостійно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несе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всі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витрати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за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їх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отримання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5830" w:type="dxa"/>
            <w:vAlign w:val="center"/>
          </w:tcPr>
          <w:p w14:paraId="4E7E6050" w14:textId="0FDC2301" w:rsidR="00341B7C" w:rsidRPr="00353A18" w:rsidRDefault="00341B7C" w:rsidP="00341B7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uk-UA"/>
              </w:rPr>
            </w:pPr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Об’єктом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робіт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є предметом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є: </w:t>
            </w:r>
          </w:p>
          <w:p w14:paraId="6141A943" w14:textId="77777777" w:rsidR="00341B7C" w:rsidRPr="00353A18" w:rsidRDefault="00341B7C" w:rsidP="00341B7C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   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Розроблення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проектної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документації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стадії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Робочий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проект «РП» з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будівництва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мереж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електропостачання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житлового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будинку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вул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Академіка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Булаховського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, 5 у м.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Києві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2F076521" w14:textId="77777777" w:rsidR="00341B7C" w:rsidRPr="00353A18" w:rsidRDefault="00341B7C" w:rsidP="00341B7C">
            <w:pPr>
              <w:widowControl w:val="0"/>
              <w:spacing w:after="0"/>
              <w:ind w:right="113" w:firstLine="388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Перелік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і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обсяги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робіт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які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підлягають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виконанню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в рамках договору про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закупівлю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подані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 w:eastAsia="uk-UA"/>
              </w:rPr>
              <w:t>Додатку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 w:eastAsia="uk-UA"/>
              </w:rPr>
              <w:t xml:space="preserve"> № 3 «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</w:t>
            </w:r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авдання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проектування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 w:eastAsia="uk-UA"/>
              </w:rPr>
              <w:t xml:space="preserve">» </w:t>
            </w:r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до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цієї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Документації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. </w:t>
            </w:r>
          </w:p>
          <w:p w14:paraId="4F7E4135" w14:textId="77777777" w:rsidR="00341B7C" w:rsidRPr="00353A18" w:rsidRDefault="00341B7C" w:rsidP="00341B7C">
            <w:pPr>
              <w:widowControl w:val="0"/>
              <w:spacing w:after="0"/>
              <w:ind w:firstLine="269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353A1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Учасники</w:t>
            </w:r>
            <w:proofErr w:type="spellEnd"/>
            <w:r w:rsidRPr="00353A1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процедури</w:t>
            </w:r>
            <w:proofErr w:type="spellEnd"/>
            <w:r w:rsidRPr="00353A1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закупівлі</w:t>
            </w:r>
            <w:proofErr w:type="spellEnd"/>
            <w:r w:rsidRPr="00353A1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повинні</w:t>
            </w:r>
            <w:proofErr w:type="spellEnd"/>
            <w:r w:rsidRPr="00353A1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надати</w:t>
            </w:r>
            <w:proofErr w:type="spellEnd"/>
            <w:r w:rsidRPr="00353A1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353A1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складі</w:t>
            </w:r>
            <w:proofErr w:type="spellEnd"/>
            <w:r w:rsidRPr="00353A1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тендерної</w:t>
            </w:r>
            <w:proofErr w:type="spellEnd"/>
            <w:r w:rsidRPr="00353A1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пропозиції</w:t>
            </w:r>
            <w:proofErr w:type="spellEnd"/>
            <w:r w:rsidRPr="00353A1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14:paraId="39987522" w14:textId="77777777" w:rsidR="00341B7C" w:rsidRPr="00353A18" w:rsidRDefault="00341B7C" w:rsidP="00341B7C">
            <w:pPr>
              <w:numPr>
                <w:ilvl w:val="0"/>
                <w:numId w:val="1"/>
              </w:numPr>
              <w:spacing w:after="0"/>
              <w:ind w:left="0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proofErr w:type="spellStart"/>
            <w:r w:rsidRPr="00353A18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Гарантійний</w:t>
            </w:r>
            <w:proofErr w:type="spellEnd"/>
            <w:r w:rsidRPr="00353A18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лист</w:t>
            </w:r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довільній</w:t>
            </w:r>
            <w:proofErr w:type="spellEnd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формі</w:t>
            </w:r>
            <w:proofErr w:type="spellEnd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завірений</w:t>
            </w:r>
            <w:proofErr w:type="spellEnd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підписом</w:t>
            </w:r>
            <w:proofErr w:type="spellEnd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уповноваженої</w:t>
            </w:r>
            <w:proofErr w:type="spellEnd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особи, про </w:t>
            </w:r>
            <w:proofErr w:type="spellStart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технічні</w:t>
            </w:r>
            <w:proofErr w:type="spellEnd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якісні</w:t>
            </w:r>
            <w:proofErr w:type="spellEnd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характеристики предмета </w:t>
            </w:r>
            <w:proofErr w:type="spellStart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закупівлі</w:t>
            </w:r>
            <w:proofErr w:type="spellEnd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які</w:t>
            </w:r>
            <w:proofErr w:type="spellEnd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передбачають</w:t>
            </w:r>
            <w:proofErr w:type="spellEnd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або</w:t>
            </w:r>
            <w:proofErr w:type="spellEnd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будуть</w:t>
            </w:r>
            <w:proofErr w:type="spellEnd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передбачати</w:t>
            </w:r>
            <w:proofErr w:type="spellEnd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необхідність</w:t>
            </w:r>
            <w:proofErr w:type="spellEnd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lang w:val="ru-RU"/>
              </w:rPr>
              <w:t>застосування</w:t>
            </w:r>
            <w:proofErr w:type="spellEnd"/>
            <w:r w:rsidRPr="00353A18"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lang w:val="ru-RU"/>
              </w:rPr>
              <w:t>заходів</w:t>
            </w:r>
            <w:proofErr w:type="spellEnd"/>
            <w:r w:rsidRPr="00353A18"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lang w:val="ru-RU"/>
              </w:rPr>
              <w:t>із</w:t>
            </w:r>
            <w:proofErr w:type="spellEnd"/>
            <w:r w:rsidRPr="00353A18"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lang w:val="ru-RU"/>
              </w:rPr>
              <w:t>захисту</w:t>
            </w:r>
            <w:proofErr w:type="spellEnd"/>
            <w:r w:rsidRPr="00353A18"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lang w:val="ru-RU"/>
              </w:rPr>
              <w:t>довкілля</w:t>
            </w:r>
            <w:proofErr w:type="spellEnd"/>
            <w:r w:rsidRPr="00353A1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. ​</w:t>
            </w:r>
          </w:p>
          <w:p w14:paraId="291BF8B2" w14:textId="77777777" w:rsidR="00341B7C" w:rsidRPr="00353A18" w:rsidRDefault="00341B7C" w:rsidP="00341B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Для </w:t>
            </w:r>
            <w:proofErr w:type="spellStart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підтвердження</w:t>
            </w:r>
            <w:proofErr w:type="spellEnd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відповідності</w:t>
            </w:r>
            <w:proofErr w:type="spellEnd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пропозиції</w:t>
            </w:r>
            <w:proofErr w:type="spellEnd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учасника</w:t>
            </w:r>
            <w:proofErr w:type="spellEnd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закупівлі</w:t>
            </w:r>
            <w:proofErr w:type="spellEnd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технічним</w:t>
            </w:r>
            <w:proofErr w:type="spellEnd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якісним</w:t>
            </w:r>
            <w:proofErr w:type="spellEnd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кількісним</w:t>
            </w:r>
            <w:proofErr w:type="spellEnd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іншим</w:t>
            </w:r>
            <w:proofErr w:type="spellEnd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вимогам</w:t>
            </w:r>
            <w:proofErr w:type="spellEnd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замовника</w:t>
            </w:r>
            <w:proofErr w:type="spellEnd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учасник</w:t>
            </w:r>
            <w:proofErr w:type="spellEnd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складі</w:t>
            </w:r>
            <w:proofErr w:type="spellEnd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пропозиції</w:t>
            </w:r>
            <w:proofErr w:type="spellEnd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повинен </w:t>
            </w:r>
            <w:proofErr w:type="spellStart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надати</w:t>
            </w:r>
            <w:proofErr w:type="spellEnd"/>
            <w:r w:rsidRPr="00353A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:</w:t>
            </w:r>
          </w:p>
          <w:p w14:paraId="3120875A" w14:textId="77777777" w:rsidR="00341B7C" w:rsidRPr="00353A18" w:rsidRDefault="00341B7C" w:rsidP="00341B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 </w:t>
            </w:r>
            <w:bookmarkStart w:id="1" w:name="_Hlk41264775"/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розрахунок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договірної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ціни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47F5547F" w14:textId="77777777" w:rsidR="00341B7C" w:rsidRPr="00353A18" w:rsidRDefault="00341B7C" w:rsidP="00341B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пояснювальну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записку;</w:t>
            </w:r>
          </w:p>
          <w:p w14:paraId="7CDB4D76" w14:textId="74C214C7" w:rsidR="00341B7C" w:rsidRPr="00353A18" w:rsidRDefault="00341B7C" w:rsidP="00341B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локальний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кошторис</w:t>
            </w:r>
            <w:proofErr w:type="spellEnd"/>
            <w:r w:rsidR="0069726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bookmarkEnd w:id="1"/>
          <w:p w14:paraId="0437A800" w14:textId="77777777" w:rsidR="00341B7C" w:rsidRPr="00353A18" w:rsidRDefault="00341B7C" w:rsidP="00341B7C">
            <w:pPr>
              <w:pStyle w:val="1"/>
              <w:pBdr>
                <w:left w:val="single" w:sz="36" w:space="15" w:color="4B84BF"/>
              </w:pBdr>
              <w:spacing w:befor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353A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Договірна ціна учасника повинна бути розрахована відповідно до наказу </w:t>
            </w:r>
            <w:proofErr w:type="spellStart"/>
            <w:r w:rsidRPr="00353A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Мінрегіону</w:t>
            </w:r>
            <w:proofErr w:type="spellEnd"/>
            <w:r w:rsidRPr="00353A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3A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діючуго</w:t>
            </w:r>
            <w:proofErr w:type="spellEnd"/>
            <w:r w:rsidRPr="00353A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час проходження експертизи.</w:t>
            </w:r>
          </w:p>
          <w:p w14:paraId="6634AC7D" w14:textId="77777777" w:rsidR="00341B7C" w:rsidRPr="00353A18" w:rsidRDefault="00341B7C" w:rsidP="00341B7C">
            <w:pPr>
              <w:spacing w:after="0"/>
              <w:ind w:firstLine="44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Локальні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кошториси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розрахунки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договірної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ціни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повинні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розраховуватись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використанням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будь-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якого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рекомендованого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Мінрегіоном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програмного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комплексу, в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якому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враховані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останні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зміни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ціноутворення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14:paraId="1EA81788" w14:textId="77777777" w:rsidR="00341B7C" w:rsidRPr="00353A18" w:rsidRDefault="00341B7C" w:rsidP="00341B7C">
            <w:pPr>
              <w:widowControl w:val="0"/>
              <w:spacing w:after="0"/>
              <w:ind w:right="113" w:firstLine="38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uk-UA"/>
              </w:rPr>
            </w:pPr>
            <w:proofErr w:type="spellStart"/>
            <w:r w:rsidRPr="00353A18">
              <w:rPr>
                <w:rFonts w:ascii="Times New Roman" w:hAnsi="Times New Roman"/>
                <w:b/>
                <w:sz w:val="20"/>
                <w:szCs w:val="20"/>
                <w:lang w:val="ru-RU" w:eastAsia="uk-UA"/>
              </w:rPr>
              <w:t>Розрахунок</w:t>
            </w:r>
            <w:proofErr w:type="spellEnd"/>
            <w:r w:rsidRPr="00353A18">
              <w:rPr>
                <w:rFonts w:ascii="Times New Roman" w:hAnsi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sz w:val="20"/>
                <w:szCs w:val="20"/>
                <w:lang w:val="ru-RU" w:eastAsia="uk-UA"/>
              </w:rPr>
              <w:t>ціни</w:t>
            </w:r>
            <w:proofErr w:type="spellEnd"/>
            <w:r w:rsidRPr="00353A18">
              <w:rPr>
                <w:rFonts w:ascii="Times New Roman" w:hAnsi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sz w:val="20"/>
                <w:szCs w:val="20"/>
                <w:lang w:val="ru-RU" w:eastAsia="uk-UA"/>
              </w:rPr>
              <w:t>тендерної</w:t>
            </w:r>
            <w:proofErr w:type="spellEnd"/>
            <w:r w:rsidRPr="00353A18">
              <w:rPr>
                <w:rFonts w:ascii="Times New Roman" w:hAnsi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sz w:val="20"/>
                <w:szCs w:val="20"/>
                <w:lang w:val="ru-RU" w:eastAsia="uk-UA"/>
              </w:rPr>
              <w:t>пропозиції</w:t>
            </w:r>
            <w:proofErr w:type="spellEnd"/>
          </w:p>
          <w:p w14:paraId="319B8C6E" w14:textId="77777777" w:rsidR="00341B7C" w:rsidRPr="00353A18" w:rsidRDefault="00341B7C" w:rsidP="00341B7C">
            <w:pPr>
              <w:widowControl w:val="0"/>
              <w:spacing w:after="0"/>
              <w:ind w:right="113" w:firstLine="388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Ціна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тендерної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пропозиції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учасника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повинна бути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визначена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за твердою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договірною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ціною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згідно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наказу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Мінрегіону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час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подання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цінової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пропозиції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</w:p>
          <w:p w14:paraId="37673180" w14:textId="77777777" w:rsidR="00341B7C" w:rsidRPr="00353A18" w:rsidRDefault="00341B7C" w:rsidP="00341B7C">
            <w:pPr>
              <w:widowControl w:val="0"/>
              <w:spacing w:after="0"/>
              <w:ind w:right="113" w:firstLine="388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lastRenderedPageBreak/>
              <w:t>Ціна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тендерної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пропозиції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Учасника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означає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суму</w:t>
            </w:r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br/>
              <w:t xml:space="preserve">(з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урахуванням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ПДВ), </w:t>
            </w:r>
            <w:proofErr w:type="gram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за яку</w:t>
            </w:r>
            <w:proofErr w:type="gram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Учасник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зобов’язується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виконати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всі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види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робіт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згідно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завдання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на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проектування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визначених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lang w:val="ru-RU" w:eastAsia="uk-UA"/>
              </w:rPr>
              <w:t xml:space="preserve">у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 w:eastAsia="uk-UA"/>
              </w:rPr>
              <w:t>Додатку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 w:eastAsia="uk-UA"/>
              </w:rPr>
              <w:t xml:space="preserve"> 3 до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 w:eastAsia="uk-UA"/>
              </w:rPr>
              <w:t>тендерної</w:t>
            </w:r>
            <w:proofErr w:type="spellEnd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 w:eastAsia="uk-UA"/>
              </w:rPr>
              <w:t>документації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., та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врахуванням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проходження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експертизи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проектної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документації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.</w:t>
            </w:r>
          </w:p>
          <w:p w14:paraId="0CE2D7AA" w14:textId="77777777" w:rsidR="00341B7C" w:rsidRPr="00353A18" w:rsidRDefault="00341B7C" w:rsidP="00341B7C">
            <w:pPr>
              <w:widowControl w:val="0"/>
              <w:spacing w:after="0"/>
              <w:ind w:right="113" w:firstLine="388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Учасник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визначає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вартість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робіт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proofErr w:type="gram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які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він</w:t>
            </w:r>
            <w:proofErr w:type="spellEnd"/>
            <w:proofErr w:type="gram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пропонує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виконати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за Договором, з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урахуванням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усіх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своїх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витрат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податків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і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зборів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сплачуються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мають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бути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сплачені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(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витрати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на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страхування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інші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витрати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). До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розрахунку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ціни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входять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усі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види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робіт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, у тому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числі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й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ті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які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доручатимуться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для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виконання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третім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особам. Не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врахована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Учасником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вартість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окремих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робіт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не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сплачуються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Замовником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окремо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, а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витрати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на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їх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виконання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вважаються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врахованими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загальній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його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ціні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тендерної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>пропозиції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. </w:t>
            </w:r>
          </w:p>
          <w:p w14:paraId="75785844" w14:textId="77777777" w:rsidR="00341B7C" w:rsidRPr="00353A18" w:rsidRDefault="00341B7C" w:rsidP="00341B7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Ціна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договору про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закупівлю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залишається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незмінною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крім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випадків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передбачених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наказу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Мінрегіону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від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 xml:space="preserve"> 01.11.2021 № 281 «Про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затвердження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кошторисних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 xml:space="preserve"> норм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України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 xml:space="preserve"> у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будівництві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»</w:t>
            </w:r>
            <w:r w:rsidRPr="00353A18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ru-RU" w:eastAsia="uk-UA"/>
              </w:rPr>
              <w:t>,</w:t>
            </w:r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визначених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ст. 41 Закону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України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«Про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публічні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».</w:t>
            </w:r>
          </w:p>
          <w:p w14:paraId="24DF1BCC" w14:textId="77777777" w:rsidR="00341B7C" w:rsidRPr="00353A18" w:rsidRDefault="00341B7C" w:rsidP="00341B7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Підстава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для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перерахунку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договірної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ціни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повинна бути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обґрунтованою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та документально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підтвердженою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Вартість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пропозиції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всі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інші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ціни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повинні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бути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чітко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визначені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. </w:t>
            </w:r>
          </w:p>
          <w:p w14:paraId="5161A838" w14:textId="1E3A1496" w:rsidR="00341B7C" w:rsidRPr="00353A18" w:rsidRDefault="00341B7C" w:rsidP="003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ind w:firstLine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Учасник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відповідає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за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одержання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всіх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необхідних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дозволів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ліцензій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сертифікатів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на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роботи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запропоновані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на торги та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інших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документів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пов’язаних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із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поданням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ціни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тендерної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пропозиції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самостійно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несе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всі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витрати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за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їх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отримання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. </w:t>
            </w:r>
          </w:p>
        </w:tc>
      </w:tr>
      <w:tr w:rsidR="00353A18" w:rsidRPr="00697262" w14:paraId="7788116D" w14:textId="77777777" w:rsidTr="00353A18">
        <w:tc>
          <w:tcPr>
            <w:tcW w:w="555" w:type="dxa"/>
            <w:vAlign w:val="center"/>
          </w:tcPr>
          <w:p w14:paraId="6E473B2B" w14:textId="77777777" w:rsidR="00353A18" w:rsidRDefault="00353A18" w:rsidP="00353A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521" w:type="dxa"/>
            <w:vAlign w:val="center"/>
          </w:tcPr>
          <w:p w14:paraId="035F88EC" w14:textId="76FDFB38" w:rsidR="00353A18" w:rsidRPr="00353A18" w:rsidRDefault="00353A18" w:rsidP="00353A18">
            <w:pPr>
              <w:widowControl w:val="0"/>
              <w:autoSpaceDE w:val="0"/>
              <w:autoSpaceDN w:val="0"/>
              <w:spacing w:after="0" w:line="23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</w:pPr>
            <w:r w:rsidRPr="00353A18">
              <w:rPr>
                <w:rFonts w:ascii="Times New Roman" w:hAnsi="Times New Roman"/>
                <w:bCs/>
                <w:lang w:val="ru-RU"/>
              </w:rPr>
              <w:t xml:space="preserve">Пункт 1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д</w:t>
            </w:r>
            <w:r w:rsidRPr="00353A18">
              <w:rPr>
                <w:rFonts w:ascii="Times New Roman" w:hAnsi="Times New Roman"/>
                <w:bCs/>
                <w:lang w:val="ru-RU"/>
              </w:rPr>
              <w:t>одатку</w:t>
            </w:r>
            <w:proofErr w:type="spellEnd"/>
            <w:r w:rsidRPr="00353A18">
              <w:rPr>
                <w:rFonts w:ascii="Times New Roman" w:hAnsi="Times New Roman"/>
                <w:bCs/>
                <w:lang w:val="ru-RU"/>
              </w:rPr>
              <w:t xml:space="preserve"> 1 до </w:t>
            </w:r>
            <w:proofErr w:type="spellStart"/>
            <w:r w:rsidRPr="00353A18">
              <w:rPr>
                <w:rFonts w:ascii="Times New Roman" w:hAnsi="Times New Roman"/>
                <w:bCs/>
                <w:lang w:val="ru-RU"/>
              </w:rPr>
              <w:t>тендерної</w:t>
            </w:r>
            <w:proofErr w:type="spellEnd"/>
            <w:r w:rsidRPr="00353A18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bCs/>
                <w:lang w:val="ru-RU"/>
              </w:rPr>
              <w:t>документації</w:t>
            </w:r>
            <w:proofErr w:type="spellEnd"/>
          </w:p>
        </w:tc>
        <w:tc>
          <w:tcPr>
            <w:tcW w:w="5830" w:type="dxa"/>
          </w:tcPr>
          <w:p w14:paraId="2063ACBF" w14:textId="77777777" w:rsidR="00353A18" w:rsidRPr="00353A18" w:rsidRDefault="00353A18" w:rsidP="00353A18">
            <w:pPr>
              <w:pStyle w:val="ab"/>
              <w:numPr>
                <w:ilvl w:val="1"/>
                <w:numId w:val="2"/>
              </w:num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353A18">
              <w:rPr>
                <w:sz w:val="20"/>
                <w:szCs w:val="20"/>
                <w:lang w:val="ru-RU"/>
              </w:rPr>
              <w:t>Довідка</w:t>
            </w:r>
            <w:proofErr w:type="spellEnd"/>
            <w:r w:rsidRPr="00353A18">
              <w:rPr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353A18">
              <w:rPr>
                <w:sz w:val="20"/>
                <w:szCs w:val="20"/>
                <w:lang w:val="ru-RU"/>
              </w:rPr>
              <w:t>наявність</w:t>
            </w:r>
            <w:proofErr w:type="spellEnd"/>
            <w:r w:rsidRPr="00353A18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353A18">
              <w:rPr>
                <w:sz w:val="20"/>
                <w:szCs w:val="20"/>
                <w:lang w:val="ru-RU"/>
              </w:rPr>
              <w:t>учасника</w:t>
            </w:r>
            <w:proofErr w:type="spellEnd"/>
            <w:r w:rsidRPr="00353A1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sz w:val="20"/>
                <w:szCs w:val="20"/>
                <w:lang w:val="ru-RU"/>
              </w:rPr>
              <w:t>обладнання</w:t>
            </w:r>
            <w:proofErr w:type="spellEnd"/>
            <w:r w:rsidRPr="00353A18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53A18">
              <w:rPr>
                <w:sz w:val="20"/>
                <w:szCs w:val="20"/>
                <w:lang w:val="ru-RU"/>
              </w:rPr>
              <w:t>необхідн</w:t>
            </w:r>
            <w:proofErr w:type="spellEnd"/>
            <w:r w:rsidRPr="00353A18">
              <w:rPr>
                <w:sz w:val="20"/>
                <w:szCs w:val="20"/>
              </w:rPr>
              <w:t>ого</w:t>
            </w:r>
            <w:r w:rsidRPr="00353A18">
              <w:rPr>
                <w:sz w:val="20"/>
                <w:szCs w:val="20"/>
                <w:lang w:val="ru-RU"/>
              </w:rPr>
              <w:t xml:space="preserve"> для </w:t>
            </w:r>
            <w:r w:rsidRPr="00353A18">
              <w:rPr>
                <w:sz w:val="20"/>
                <w:szCs w:val="20"/>
              </w:rPr>
              <w:t xml:space="preserve">виконання робіт по закупівлі </w:t>
            </w:r>
            <w:r w:rsidRPr="00353A18">
              <w:rPr>
                <w:sz w:val="20"/>
                <w:szCs w:val="20"/>
                <w:lang w:val="ru-RU"/>
              </w:rPr>
              <w:t xml:space="preserve">та </w:t>
            </w:r>
            <w:proofErr w:type="spellStart"/>
            <w:r w:rsidRPr="00353A18">
              <w:rPr>
                <w:sz w:val="20"/>
                <w:szCs w:val="20"/>
                <w:lang w:val="ru-RU"/>
              </w:rPr>
              <w:t>виконання</w:t>
            </w:r>
            <w:proofErr w:type="spellEnd"/>
            <w:r w:rsidRPr="00353A18">
              <w:rPr>
                <w:sz w:val="20"/>
                <w:szCs w:val="20"/>
                <w:lang w:val="ru-RU"/>
              </w:rPr>
              <w:t xml:space="preserve"> умов договору </w:t>
            </w:r>
            <w:proofErr w:type="spellStart"/>
            <w:r w:rsidRPr="00353A18">
              <w:rPr>
                <w:sz w:val="20"/>
                <w:szCs w:val="20"/>
                <w:lang w:val="ru-RU"/>
              </w:rPr>
              <w:t>відповідно</w:t>
            </w:r>
            <w:proofErr w:type="spellEnd"/>
            <w:r w:rsidRPr="00353A18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353A18">
              <w:rPr>
                <w:sz w:val="20"/>
                <w:szCs w:val="20"/>
                <w:lang w:val="ru-RU"/>
              </w:rPr>
              <w:t>встановленої</w:t>
            </w:r>
            <w:proofErr w:type="spellEnd"/>
            <w:r w:rsidRPr="00353A1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sz w:val="20"/>
                <w:szCs w:val="20"/>
                <w:lang w:val="ru-RU"/>
              </w:rPr>
              <w:t>форми</w:t>
            </w:r>
            <w:proofErr w:type="spellEnd"/>
            <w:r w:rsidRPr="00353A18">
              <w:rPr>
                <w:sz w:val="20"/>
                <w:szCs w:val="20"/>
                <w:lang w:val="ru-RU"/>
              </w:rPr>
              <w:t>.</w:t>
            </w:r>
          </w:p>
          <w:p w14:paraId="2AE6D708" w14:textId="77777777" w:rsidR="00353A18" w:rsidRPr="00353A18" w:rsidRDefault="00353A18" w:rsidP="00353A18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Довідка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про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наявність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обладнання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матеріально-технічної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бази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необхідних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для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виконання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умов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технічного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завдання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за </w:t>
            </w:r>
            <w:proofErr w:type="spellStart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встановленою</w:t>
            </w:r>
            <w:proofErr w:type="spellEnd"/>
            <w:r w:rsidRPr="00353A1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формою:</w:t>
            </w:r>
          </w:p>
          <w:tbl>
            <w:tblPr>
              <w:tblW w:w="5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6"/>
              <w:gridCol w:w="1206"/>
              <w:gridCol w:w="992"/>
              <w:gridCol w:w="1276"/>
              <w:gridCol w:w="1559"/>
            </w:tblGrid>
            <w:tr w:rsidR="00353A18" w:rsidRPr="00697262" w14:paraId="67B03D11" w14:textId="77777777" w:rsidTr="00353A18">
              <w:tc>
                <w:tcPr>
                  <w:tcW w:w="486" w:type="dxa"/>
                  <w:vAlign w:val="center"/>
                </w:tcPr>
                <w:p w14:paraId="74D417DC" w14:textId="77777777" w:rsidR="00353A18" w:rsidRPr="00353A18" w:rsidRDefault="00353A18" w:rsidP="00353A1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3A18">
                    <w:rPr>
                      <w:rFonts w:ascii="Times New Roman" w:hAnsi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206" w:type="dxa"/>
                  <w:vAlign w:val="center"/>
                </w:tcPr>
                <w:p w14:paraId="07A4377B" w14:textId="77777777" w:rsidR="00353A18" w:rsidRPr="00353A18" w:rsidRDefault="00353A18" w:rsidP="00353A1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353A1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Назва</w:t>
                  </w:r>
                  <w:proofErr w:type="spellEnd"/>
                  <w:r w:rsidRPr="00353A1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та тип </w:t>
                  </w:r>
                  <w:proofErr w:type="spellStart"/>
                  <w:r w:rsidRPr="00353A1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машини</w:t>
                  </w:r>
                  <w:proofErr w:type="spellEnd"/>
                  <w:r w:rsidRPr="00353A1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353A1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механізму</w:t>
                  </w:r>
                  <w:proofErr w:type="spellEnd"/>
                  <w:r w:rsidRPr="00353A1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353A1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устаткування</w:t>
                  </w:r>
                  <w:proofErr w:type="spellEnd"/>
                  <w:r w:rsidRPr="00353A1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353A1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тощо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41F1142B" w14:textId="77777777" w:rsidR="00353A18" w:rsidRPr="00353A18" w:rsidRDefault="00353A18" w:rsidP="00353A1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353A18">
                    <w:rPr>
                      <w:rFonts w:ascii="Times New Roman" w:hAnsi="Times New Roman"/>
                      <w:sz w:val="20"/>
                      <w:szCs w:val="20"/>
                    </w:rPr>
                    <w:t>Наявна</w:t>
                  </w:r>
                  <w:proofErr w:type="spellEnd"/>
                  <w:r w:rsidRPr="00353A1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3A18">
                    <w:rPr>
                      <w:rFonts w:ascii="Times New Roman" w:hAnsi="Times New Roman"/>
                      <w:sz w:val="20"/>
                      <w:szCs w:val="20"/>
                    </w:rPr>
                    <w:t>кількість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14:paraId="589F8F16" w14:textId="77777777" w:rsidR="00353A18" w:rsidRPr="00353A18" w:rsidRDefault="00353A18" w:rsidP="00353A1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353A18">
                    <w:rPr>
                      <w:rFonts w:ascii="Times New Roman" w:hAnsi="Times New Roman"/>
                      <w:sz w:val="20"/>
                      <w:szCs w:val="20"/>
                    </w:rPr>
                    <w:t>Технічний</w:t>
                  </w:r>
                  <w:proofErr w:type="spellEnd"/>
                  <w:r w:rsidRPr="00353A1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3A18">
                    <w:rPr>
                      <w:rFonts w:ascii="Times New Roman" w:hAnsi="Times New Roman"/>
                      <w:sz w:val="20"/>
                      <w:szCs w:val="20"/>
                    </w:rPr>
                    <w:t>стан</w:t>
                  </w:r>
                  <w:proofErr w:type="spellEnd"/>
                  <w:r w:rsidRPr="00353A18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53A18">
                    <w:rPr>
                      <w:rFonts w:ascii="Times New Roman" w:hAnsi="Times New Roman"/>
                      <w:sz w:val="20"/>
                      <w:szCs w:val="20"/>
                    </w:rPr>
                    <w:t>рік</w:t>
                  </w:r>
                  <w:proofErr w:type="spellEnd"/>
                  <w:r w:rsidRPr="00353A1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3A18">
                    <w:rPr>
                      <w:rFonts w:ascii="Times New Roman" w:hAnsi="Times New Roman"/>
                      <w:sz w:val="20"/>
                      <w:szCs w:val="20"/>
                    </w:rPr>
                    <w:t>випуску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14:paraId="7C41142F" w14:textId="77777777" w:rsidR="00353A18" w:rsidRPr="00353A18" w:rsidRDefault="00353A18" w:rsidP="00353A1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353A1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Зазначення</w:t>
                  </w:r>
                  <w:proofErr w:type="spellEnd"/>
                  <w:r w:rsidRPr="00353A1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353A1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приналежності</w:t>
                  </w:r>
                  <w:proofErr w:type="spellEnd"/>
                  <w:r w:rsidRPr="00353A1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(</w:t>
                  </w:r>
                  <w:proofErr w:type="spellStart"/>
                  <w:r w:rsidRPr="00353A1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власна</w:t>
                  </w:r>
                  <w:proofErr w:type="spellEnd"/>
                  <w:r w:rsidRPr="00353A1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353A1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чи</w:t>
                  </w:r>
                  <w:proofErr w:type="spellEnd"/>
                  <w:r w:rsidRPr="00353A1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353A1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орендована</w:t>
                  </w:r>
                  <w:proofErr w:type="spellEnd"/>
                  <w:r w:rsidRPr="00353A1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(залучена)</w:t>
                  </w:r>
                </w:p>
              </w:tc>
            </w:tr>
            <w:tr w:rsidR="00353A18" w:rsidRPr="00697262" w14:paraId="023DB10E" w14:textId="77777777" w:rsidTr="00353A18">
              <w:tc>
                <w:tcPr>
                  <w:tcW w:w="486" w:type="dxa"/>
                </w:tcPr>
                <w:p w14:paraId="6F23A7E3" w14:textId="77777777" w:rsidR="00353A18" w:rsidRPr="00353A18" w:rsidRDefault="00353A18" w:rsidP="00353A1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353A1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1206" w:type="dxa"/>
                </w:tcPr>
                <w:p w14:paraId="45ECB330" w14:textId="77777777" w:rsidR="00353A18" w:rsidRPr="00353A18" w:rsidRDefault="00353A18" w:rsidP="00353A1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353A1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24A31EDE" w14:textId="77777777" w:rsidR="00353A18" w:rsidRPr="00353A18" w:rsidRDefault="00353A18" w:rsidP="00353A1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353A1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20E3E9BE" w14:textId="77777777" w:rsidR="00353A18" w:rsidRPr="00353A18" w:rsidRDefault="00353A18" w:rsidP="00353A1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353A1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14:paraId="628ACF40" w14:textId="77777777" w:rsidR="00353A18" w:rsidRPr="00353A18" w:rsidRDefault="00353A18" w:rsidP="00353A1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353A1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5</w:t>
                  </w:r>
                </w:p>
              </w:tc>
            </w:tr>
            <w:tr w:rsidR="00353A18" w:rsidRPr="00697262" w14:paraId="30CEF6C2" w14:textId="77777777" w:rsidTr="00353A18">
              <w:tc>
                <w:tcPr>
                  <w:tcW w:w="486" w:type="dxa"/>
                </w:tcPr>
                <w:p w14:paraId="13BE21A8" w14:textId="77777777" w:rsidR="00353A18" w:rsidRPr="00353A18" w:rsidRDefault="00353A18" w:rsidP="00353A1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06" w:type="dxa"/>
                </w:tcPr>
                <w:p w14:paraId="001DED06" w14:textId="77777777" w:rsidR="00353A18" w:rsidRPr="00353A18" w:rsidRDefault="00353A18" w:rsidP="00353A1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14:paraId="171AB222" w14:textId="77777777" w:rsidR="00353A18" w:rsidRPr="00353A18" w:rsidRDefault="00353A18" w:rsidP="00353A1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14:paraId="7630899B" w14:textId="77777777" w:rsidR="00353A18" w:rsidRPr="00353A18" w:rsidRDefault="00353A18" w:rsidP="00353A1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14:paraId="3F1C03EA" w14:textId="77777777" w:rsidR="00353A18" w:rsidRPr="00353A18" w:rsidRDefault="00353A18" w:rsidP="00353A1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53A18" w:rsidRPr="00697262" w14:paraId="5B486FBA" w14:textId="77777777" w:rsidTr="00353A18">
              <w:tc>
                <w:tcPr>
                  <w:tcW w:w="486" w:type="dxa"/>
                </w:tcPr>
                <w:p w14:paraId="0EDD46A6" w14:textId="77777777" w:rsidR="00353A18" w:rsidRPr="00353A18" w:rsidRDefault="00353A18" w:rsidP="00353A1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06" w:type="dxa"/>
                </w:tcPr>
                <w:p w14:paraId="59EBFD6F" w14:textId="77777777" w:rsidR="00353A18" w:rsidRPr="00353A18" w:rsidRDefault="00353A18" w:rsidP="00353A1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14:paraId="4D666ED4" w14:textId="77777777" w:rsidR="00353A18" w:rsidRPr="00353A18" w:rsidRDefault="00353A18" w:rsidP="00353A1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14:paraId="6DB69D3F" w14:textId="77777777" w:rsidR="00353A18" w:rsidRPr="00353A18" w:rsidRDefault="00353A18" w:rsidP="00353A1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14:paraId="11BB58C0" w14:textId="77777777" w:rsidR="00353A18" w:rsidRPr="00353A18" w:rsidRDefault="00353A18" w:rsidP="00353A1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14:paraId="04F31255" w14:textId="77777777" w:rsidR="00353A18" w:rsidRPr="00353A18" w:rsidRDefault="00353A18" w:rsidP="00353A18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353A18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_________________________________________________                           _______________</w:t>
            </w:r>
          </w:p>
          <w:p w14:paraId="7C12FF99" w14:textId="77777777" w:rsidR="00353A18" w:rsidRPr="00353A18" w:rsidRDefault="00353A18" w:rsidP="00353A18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353A18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посада, </w:t>
            </w:r>
            <w:proofErr w:type="spellStart"/>
            <w:r w:rsidRPr="00353A18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прізвище</w:t>
            </w:r>
            <w:proofErr w:type="spellEnd"/>
            <w:r w:rsidRPr="00353A18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53A18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ініціали</w:t>
            </w:r>
            <w:proofErr w:type="spellEnd"/>
            <w:r w:rsidRPr="00353A18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уповноваженої</w:t>
            </w:r>
            <w:proofErr w:type="spellEnd"/>
            <w:r w:rsidRPr="00353A18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 особи </w:t>
            </w:r>
            <w:proofErr w:type="spellStart"/>
            <w:r w:rsidRPr="00353A18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учасника</w:t>
            </w:r>
            <w:proofErr w:type="spellEnd"/>
            <w:r w:rsidRPr="00353A18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ab/>
            </w:r>
            <w:r w:rsidRPr="00353A18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ab/>
            </w:r>
            <w:r w:rsidRPr="00353A18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ab/>
            </w:r>
            <w:r w:rsidRPr="00353A18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ab/>
              <w:t>(</w:t>
            </w:r>
            <w:proofErr w:type="spellStart"/>
            <w:r w:rsidRPr="00353A18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підпис</w:t>
            </w:r>
            <w:proofErr w:type="spellEnd"/>
            <w:r w:rsidRPr="00353A18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)</w:t>
            </w:r>
          </w:p>
          <w:p w14:paraId="7FE47DAD" w14:textId="77777777" w:rsidR="00353A18" w:rsidRPr="00353A18" w:rsidRDefault="00353A18" w:rsidP="00353A18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353A18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М.П.</w:t>
            </w:r>
          </w:p>
          <w:p w14:paraId="1A0225A6" w14:textId="77777777" w:rsidR="00353A18" w:rsidRPr="00353A18" w:rsidRDefault="00353A18" w:rsidP="00353A18">
            <w:pPr>
              <w:widowControl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Для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підтвердження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наявності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учасника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власних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транспортних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засобів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надаються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підтверджуючі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документи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(скан-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копії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свідоцтв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реєстрацію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ТЗ,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інвентарна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картка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обліку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основних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засобів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наявні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транспортні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засоби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формою №О3-6).</w:t>
            </w:r>
          </w:p>
          <w:p w14:paraId="5F6B13C4" w14:textId="77777777" w:rsidR="00353A18" w:rsidRPr="00353A18" w:rsidRDefault="00353A18" w:rsidP="00353A18">
            <w:pPr>
              <w:pStyle w:val="ab"/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  <w:r w:rsidRPr="00353A18">
              <w:rPr>
                <w:rFonts w:eastAsia="Calibri"/>
                <w:color w:val="000000"/>
                <w:sz w:val="20"/>
                <w:szCs w:val="20"/>
                <w:lang w:eastAsia="uk-UA"/>
              </w:rPr>
              <w:t xml:space="preserve">Якщо транспортні засоби є орендованими або залученими – Учасниками надаються копії (або скановані оригінали) дійсних та чинних, протягом всього строку, що дорівнює або перевищує </w:t>
            </w:r>
            <w:r w:rsidRPr="00353A18">
              <w:rPr>
                <w:rFonts w:eastAsia="Calibri"/>
                <w:color w:val="000000"/>
                <w:sz w:val="20"/>
                <w:szCs w:val="20"/>
                <w:lang w:eastAsia="uk-UA"/>
              </w:rPr>
              <w:lastRenderedPageBreak/>
              <w:t xml:space="preserve">строк виконання договору про закупівлю, договорів оренди (лізингу), надання послуг, тощо </w:t>
            </w:r>
            <w:r w:rsidRPr="00353A18">
              <w:rPr>
                <w:rFonts w:eastAsia="Calibri"/>
                <w:sz w:val="20"/>
                <w:szCs w:val="20"/>
              </w:rPr>
              <w:t xml:space="preserve">та </w:t>
            </w:r>
            <w:proofErr w:type="spellStart"/>
            <w:r w:rsidRPr="00353A18">
              <w:rPr>
                <w:rFonts w:eastAsia="Calibri"/>
                <w:sz w:val="20"/>
                <w:szCs w:val="20"/>
              </w:rPr>
              <w:t>скан</w:t>
            </w:r>
            <w:proofErr w:type="spellEnd"/>
            <w:r w:rsidRPr="00353A18">
              <w:rPr>
                <w:rFonts w:eastAsia="Calibri"/>
                <w:sz w:val="20"/>
                <w:szCs w:val="20"/>
              </w:rPr>
              <w:t xml:space="preserve">-копії </w:t>
            </w:r>
            <w:proofErr w:type="spellStart"/>
            <w:r w:rsidRPr="00353A18">
              <w:rPr>
                <w:rFonts w:eastAsia="Calibri"/>
                <w:sz w:val="20"/>
                <w:szCs w:val="20"/>
              </w:rPr>
              <w:t>свідоцтв</w:t>
            </w:r>
            <w:proofErr w:type="spellEnd"/>
            <w:r w:rsidRPr="00353A18">
              <w:rPr>
                <w:rFonts w:eastAsia="Calibri"/>
                <w:sz w:val="20"/>
                <w:szCs w:val="20"/>
              </w:rPr>
              <w:t xml:space="preserve"> про реєстрацію ТЗ.</w:t>
            </w:r>
          </w:p>
          <w:p w14:paraId="29E22477" w14:textId="77777777" w:rsidR="00353A18" w:rsidRPr="00353A18" w:rsidRDefault="00353A18" w:rsidP="00353A18">
            <w:pPr>
              <w:pStyle w:val="ab"/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 w:rsidRPr="00353A18">
              <w:rPr>
                <w:rFonts w:eastAsia="Calibri"/>
                <w:sz w:val="20"/>
                <w:szCs w:val="20"/>
              </w:rPr>
              <w:t>В учасника повинно бути не менше одного автокрана, не менше одного бульдозера.</w:t>
            </w:r>
          </w:p>
          <w:p w14:paraId="1CFF5FA1" w14:textId="77777777" w:rsidR="00353A18" w:rsidRPr="00353A18" w:rsidRDefault="00353A18" w:rsidP="00353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30" w:type="dxa"/>
          </w:tcPr>
          <w:p w14:paraId="08C48DFE" w14:textId="089B8C22" w:rsidR="00353A18" w:rsidRPr="00353A18" w:rsidRDefault="00353A18" w:rsidP="00353A18">
            <w:pPr>
              <w:pStyle w:val="ParaAttribute80"/>
              <w:spacing w:before="0" w:after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Пункт 1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353A1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одатку</w:t>
            </w:r>
            <w:proofErr w:type="spellEnd"/>
            <w:r w:rsidRPr="00353A1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видалений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із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тендерної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документації</w:t>
            </w:r>
            <w:proofErr w:type="spellEnd"/>
            <w:r w:rsidRPr="00353A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</w:tbl>
    <w:p w14:paraId="00D54AB8" w14:textId="77777777" w:rsidR="00E45FBF" w:rsidRPr="00722E43" w:rsidRDefault="00E45FBF" w:rsidP="00DC37F5">
      <w:pPr>
        <w:rPr>
          <w:lang w:val="ru-RU"/>
        </w:rPr>
      </w:pPr>
    </w:p>
    <w:sectPr w:rsidR="00E45FBF" w:rsidRPr="00722E43" w:rsidSect="00DC37F5">
      <w:pgSz w:w="16838" w:h="11906" w:orient="landscape"/>
      <w:pgMar w:top="568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ёА °µ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4163"/>
    <w:multiLevelType w:val="multilevel"/>
    <w:tmpl w:val="5C9EAC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E7A5835"/>
    <w:multiLevelType w:val="hybridMultilevel"/>
    <w:tmpl w:val="27A66230"/>
    <w:lvl w:ilvl="0" w:tplc="4E346EAC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13"/>
    <w:rsid w:val="00341B7C"/>
    <w:rsid w:val="00353A18"/>
    <w:rsid w:val="003D7213"/>
    <w:rsid w:val="004B3018"/>
    <w:rsid w:val="0057392C"/>
    <w:rsid w:val="0058784C"/>
    <w:rsid w:val="00693F50"/>
    <w:rsid w:val="00697262"/>
    <w:rsid w:val="00722E43"/>
    <w:rsid w:val="007C0A0A"/>
    <w:rsid w:val="008C0EC8"/>
    <w:rsid w:val="00A3538B"/>
    <w:rsid w:val="00A93C74"/>
    <w:rsid w:val="00BF5DDA"/>
    <w:rsid w:val="00C0283C"/>
    <w:rsid w:val="00CC55CB"/>
    <w:rsid w:val="00D50D76"/>
    <w:rsid w:val="00D90E49"/>
    <w:rsid w:val="00DC37F5"/>
    <w:rsid w:val="00E45FBF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250E"/>
  <w15:docId w15:val="{2F16035A-698C-4810-9A43-6D31F274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018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BF5DD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aliases w:val="Основной текст 3 Знак1,Основной текст 3 Знак Знак, Знак2 Знак Знак, Знак2 Знак1,Основной текст 3 Знак Знак1, Знак2 Знак Знак2, Знак2 Знак"/>
    <w:basedOn w:val="a"/>
    <w:link w:val="30"/>
    <w:rsid w:val="00693F5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30">
    <w:name w:val="Основний текст 3 Знак"/>
    <w:aliases w:val="Основной текст 3 Знак1 Знак,Основной текст 3 Знак Знак Знак, Знак2 Знак Знак Знак, Знак2 Знак1 Знак,Основной текст 3 Знак Знак1 Знак, Знак2 Знак Знак2 Знак, Знак2 Знак Знак1"/>
    <w:basedOn w:val="a0"/>
    <w:link w:val="3"/>
    <w:rsid w:val="00693F5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rvps2">
    <w:name w:val="rvps2"/>
    <w:basedOn w:val="a"/>
    <w:rsid w:val="00722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4B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B3018"/>
    <w:rPr>
      <w:rFonts w:ascii="Tahoma" w:eastAsia="Calibri" w:hAnsi="Tahoma" w:cs="Tahoma"/>
      <w:sz w:val="16"/>
      <w:szCs w:val="16"/>
      <w:lang w:val="en-US"/>
    </w:rPr>
  </w:style>
  <w:style w:type="paragraph" w:styleId="a5">
    <w:name w:val="Normal (Web)"/>
    <w:aliases w:val="Обычный (Web)"/>
    <w:basedOn w:val="a"/>
    <w:link w:val="a6"/>
    <w:uiPriority w:val="99"/>
    <w:qFormat/>
    <w:rsid w:val="004B3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6">
    <w:name w:val="Звичайний (веб) Знак"/>
    <w:aliases w:val="Обычный (Web) Знак"/>
    <w:link w:val="a5"/>
    <w:uiPriority w:val="99"/>
    <w:rsid w:val="004B30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вичайний1"/>
    <w:rsid w:val="00A3538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araAttribute80">
    <w:name w:val="ParaAttribute80"/>
    <w:rsid w:val="00A3538B"/>
    <w:pPr>
      <w:spacing w:before="120" w:after="60" w:line="240" w:lineRule="auto"/>
      <w:jc w:val="both"/>
    </w:pPr>
    <w:rPr>
      <w:rFonts w:ascii="ёА °µ" w:eastAsia="Times New Roman" w:hAnsi="ёА °µ" w:cs="Times New Roman"/>
      <w:lang w:eastAsia="uk-UA"/>
    </w:rPr>
  </w:style>
  <w:style w:type="paragraph" w:styleId="a7">
    <w:name w:val="List Paragraph"/>
    <w:basedOn w:val="a"/>
    <w:link w:val="a8"/>
    <w:uiPriority w:val="99"/>
    <w:qFormat/>
    <w:rsid w:val="00A3538B"/>
    <w:pPr>
      <w:spacing w:after="120" w:line="240" w:lineRule="auto"/>
      <w:ind w:left="720"/>
      <w:contextualSpacing/>
    </w:pPr>
    <w:rPr>
      <w:rFonts w:ascii="Times New Roman" w:hAnsi="Times New Roman"/>
      <w:sz w:val="24"/>
      <w:lang w:val="uk-UA"/>
    </w:rPr>
  </w:style>
  <w:style w:type="character" w:customStyle="1" w:styleId="a8">
    <w:name w:val="Абзац списку Знак"/>
    <w:link w:val="a7"/>
    <w:uiPriority w:val="99"/>
    <w:rsid w:val="00A3538B"/>
    <w:rPr>
      <w:rFonts w:ascii="Times New Roman" w:eastAsia="Calibri" w:hAnsi="Times New Roman" w:cs="Times New Roman"/>
      <w:sz w:val="24"/>
    </w:rPr>
  </w:style>
  <w:style w:type="paragraph" w:styleId="a9">
    <w:name w:val="Body Text"/>
    <w:basedOn w:val="a"/>
    <w:link w:val="aa"/>
    <w:uiPriority w:val="99"/>
    <w:unhideWhenUsed/>
    <w:rsid w:val="00A93C74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a">
    <w:name w:val="Основний текст Знак"/>
    <w:basedOn w:val="a0"/>
    <w:link w:val="a9"/>
    <w:uiPriority w:val="99"/>
    <w:rsid w:val="00A93C74"/>
    <w:rPr>
      <w:rFonts w:ascii="Times New Roman" w:eastAsia="Calibri" w:hAnsi="Times New Roman" w:cs="Times New Roman"/>
      <w:sz w:val="24"/>
    </w:rPr>
  </w:style>
  <w:style w:type="character" w:customStyle="1" w:styleId="rvts0">
    <w:name w:val="rvts0"/>
    <w:rsid w:val="0058784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BF5D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No Spacing"/>
    <w:link w:val="ac"/>
    <w:qFormat/>
    <w:rsid w:val="0035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інтервалів Знак"/>
    <w:link w:val="ab"/>
    <w:rsid w:val="00353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5340</Words>
  <Characters>3044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UMRL-0165</dc:creator>
  <cp:keywords/>
  <dc:description/>
  <cp:lastModifiedBy>user</cp:lastModifiedBy>
  <cp:revision>6</cp:revision>
  <cp:lastPrinted>2021-09-10T14:26:00Z</cp:lastPrinted>
  <dcterms:created xsi:type="dcterms:W3CDTF">2023-05-29T13:04:00Z</dcterms:created>
  <dcterms:modified xsi:type="dcterms:W3CDTF">2023-05-30T14:45:00Z</dcterms:modified>
</cp:coreProperties>
</file>