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vAlign w:val="center"/>
          </w:tcPr>
          <w:p>
            <w:pPr>
              <w:pStyle w:val="8"/>
              <w:snapToGrid w:val="0"/>
              <w:ind w:right="-13"/>
              <w:rPr>
                <w:color w:val="000000"/>
                <w:sz w:val="27"/>
                <w:szCs w:val="27"/>
              </w:rPr>
            </w:pPr>
            <w:r>
              <w:rPr>
                <w:sz w:val="32"/>
                <w:szCs w:val="32"/>
              </w:rPr>
              <w:br w:type="textWrapping"/>
            </w:r>
            <w:r>
              <w:rPr>
                <w:color w:val="000000"/>
                <w:sz w:val="27"/>
                <w:szCs w:val="27"/>
              </w:rPr>
              <w:t>Комунальне некомерційне підприємство "Хмельницький обласний спеціалізований будинок дитини"</w:t>
            </w:r>
          </w:p>
          <w:p>
            <w:pPr>
              <w:pStyle w:val="8"/>
              <w:snapToGrid w:val="0"/>
              <w:ind w:right="-13"/>
              <w:rPr>
                <w:sz w:val="32"/>
                <w:szCs w:val="32"/>
                <w:highlight w:val="yellow"/>
              </w:rPr>
            </w:pPr>
          </w:p>
          <w:p>
            <w:pPr>
              <w:pStyle w:val="8"/>
              <w:snapToGrid w:val="0"/>
              <w:ind w:left="5217" w:right="-13"/>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Протокол №1</w:t>
            </w:r>
            <w:r>
              <w:rPr>
                <w:rFonts w:hint="default"/>
                <w:iCs/>
                <w:sz w:val="24"/>
                <w:szCs w:val="24"/>
                <w:lang w:val="uk-UA"/>
              </w:rPr>
              <w:t>14</w:t>
            </w:r>
            <w:r>
              <w:rPr>
                <w:iCs/>
                <w:sz w:val="24"/>
                <w:szCs w:val="24"/>
              </w:rPr>
              <w:t xml:space="preserve"> від </w:t>
            </w:r>
            <w:r>
              <w:rPr>
                <w:rFonts w:hint="default"/>
                <w:iCs/>
                <w:sz w:val="24"/>
                <w:szCs w:val="24"/>
                <w:lang w:val="uk-UA"/>
              </w:rPr>
              <w:t>15</w:t>
            </w:r>
            <w:r>
              <w:rPr>
                <w:iCs/>
                <w:sz w:val="24"/>
                <w:szCs w:val="24"/>
              </w:rPr>
              <w:t>.</w:t>
            </w:r>
            <w:r>
              <w:rPr>
                <w:iCs/>
                <w:sz w:val="24"/>
                <w:szCs w:val="24"/>
                <w:lang w:val="en-US"/>
              </w:rPr>
              <w:t>11</w:t>
            </w:r>
            <w:r>
              <w:rPr>
                <w:iCs/>
                <w:sz w:val="24"/>
                <w:szCs w:val="24"/>
              </w:rPr>
              <w:t>.2023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bookmarkStart w:id="0" w:name="_Hlk59648798"/>
      <w:r>
        <w:rPr>
          <w:rFonts w:ascii="Times New Roman" w:hAnsi="Times New Roman"/>
          <w:b/>
          <w:bCs/>
          <w:sz w:val="24"/>
          <w:szCs w:val="24"/>
          <w:shd w:val="clear" w:color="auto" w:fill="FFFFFF"/>
        </w:rPr>
        <w:t>код ДК 021:2015 - 15510000-6 «Молоко та вершки»</w:t>
      </w:r>
      <w:r>
        <w:rPr>
          <w:rFonts w:ascii="Times New Roman" w:hAnsi="Times New Roman"/>
          <w:b/>
          <w:bCs/>
          <w:sz w:val="24"/>
          <w:szCs w:val="24"/>
          <w:shd w:val="clear" w:color="auto" w:fill="FFFFFF"/>
        </w:rPr>
        <w:br w:type="textWrapping"/>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(Молоко пастеризоване 3,2 % жиру)</w:t>
      </w:r>
      <w:bookmarkEnd w:id="0"/>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r>
        <w:rPr>
          <w:rFonts w:ascii="Times New Roman" w:hAnsi="Times New Roman" w:eastAsia="Times New Roman" w:cs="Times New Roman"/>
          <w:color w:val="000000"/>
          <w:sz w:val="24"/>
          <w:szCs w:val="24"/>
          <w:lang w:val="uk-UA" w:eastAsia="ru-RU"/>
        </w:rPr>
        <w:br w:type="textWrapping"/>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Cs/>
                <w:sz w:val="24"/>
                <w:szCs w:val="24"/>
                <w:highlight w:val="yellow"/>
                <w:lang w:val="uk-UA"/>
              </w:rPr>
            </w:pPr>
            <w:r>
              <w:rPr>
                <w:rFonts w:ascii="Times New Roman" w:hAnsi="Times New Roman"/>
                <w:bCs/>
                <w:i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bCs/>
                <w:sz w:val="24"/>
                <w:szCs w:val="24"/>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sz w:val="24"/>
                <w:szCs w:val="24"/>
              </w:rPr>
              <w:t xml:space="preserve">Довбета Яна Анатоліївна, фахівець з публічних закупівель, уповноважена особа </w:t>
            </w:r>
            <w:r>
              <w:rPr>
                <w:rFonts w:ascii="Times New Roman" w:hAnsi="Times New Roman"/>
                <w:sz w:val="24"/>
                <w:szCs w:val="24"/>
              </w:rPr>
              <w:br w:type="textWrapping"/>
            </w:r>
            <w:r>
              <w:rPr>
                <w:rFonts w:ascii="Times New Roman" w:hAnsi="Times New Roman"/>
                <w:sz w:val="24"/>
                <w:szCs w:val="24"/>
              </w:rPr>
              <w:t xml:space="preserve">тел.(0382) 67-18-10 </w:t>
            </w:r>
            <w:r>
              <w:rPr>
                <w:rFonts w:ascii="Times New Roman" w:hAnsi="Times New Roman"/>
                <w:sz w:val="24"/>
                <w:szCs w:val="24"/>
              </w:rPr>
              <w:br w:type="textWrapping"/>
            </w:r>
            <w:r>
              <w:rPr>
                <w:rFonts w:ascii="Times New Roman" w:hAnsi="Times New Roman"/>
                <w:sz w:val="24"/>
                <w:szCs w:val="24"/>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b/>
                <w:bCs/>
                <w:sz w:val="24"/>
                <w:szCs w:val="24"/>
                <w:shd w:val="clear" w:color="auto" w:fill="FFFFFF"/>
              </w:rPr>
              <w:t>код ДК 021:2015 - 15510000-6 «Молоко та вершки»</w:t>
            </w:r>
            <w:r>
              <w:rPr>
                <w:rFonts w:ascii="Times New Roman" w:hAnsi="Times New Roman"/>
                <w:b/>
                <w:bCs/>
                <w:sz w:val="24"/>
                <w:szCs w:val="24"/>
                <w:shd w:val="clear" w:color="auto" w:fill="FFFFFF"/>
              </w:rPr>
              <w:br w:type="textWrapping"/>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(Молоко пастеризоване 3,2 % жиру)</w:t>
            </w:r>
            <w:r>
              <w:rPr>
                <w:rFonts w:ascii="Times New Roman" w:hAnsi="Times New Roman"/>
                <w:b/>
                <w:sz w:val="24"/>
                <w:szCs w:val="24"/>
              </w:rPr>
              <w:t xml:space="preserve"> </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pStyle w:val="5"/>
            </w:pPr>
            <w:r>
              <w:rPr>
                <w:bCs/>
              </w:rPr>
              <w:t>29016, Україна, Хмельницька обл., місто Хмельницький, вул. Пулюя,4</w:t>
            </w:r>
            <w:r>
              <w:br w:type="textWrapping"/>
            </w:r>
            <w:r>
              <w:rPr>
                <w:rFonts w:eastAsia="Times New Roman"/>
                <w:lang w:eastAsia="ru-RU"/>
              </w:rPr>
              <w:t>Кількість:</w:t>
            </w:r>
            <w:r>
              <w:rPr>
                <w:rFonts w:eastAsia="Times New Roman"/>
                <w:lang w:eastAsia="ru-RU"/>
              </w:rPr>
              <w:br w:type="textWrapping"/>
            </w:r>
            <w:r>
              <w:rPr>
                <w:rFonts w:eastAsia="Times New Roman"/>
                <w:color w:val="000000"/>
                <w:lang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1"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1"/>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2"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3"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3"/>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23</w:t>
            </w:r>
            <w:r>
              <w:rPr>
                <w:rFonts w:ascii="Times New Roman" w:hAnsi="Times New Roman" w:eastAsia="Times New Roman" w:cs="Times New Roman"/>
                <w:b/>
                <w:bCs/>
                <w:color w:val="000000" w:themeColor="text1"/>
                <w:sz w:val="24"/>
                <w:szCs w:val="24"/>
                <w:lang w:val="uk-UA" w:eastAsia="ru-RU"/>
              </w:rPr>
              <w:t>.</w:t>
            </w:r>
            <w:r>
              <w:rPr>
                <w:rFonts w:ascii="Times New Roman" w:hAnsi="Times New Roman" w:eastAsia="Times New Roman" w:cs="Times New Roman"/>
                <w:b/>
                <w:bCs/>
                <w:color w:val="000000" w:themeColor="text1"/>
                <w:sz w:val="24"/>
                <w:szCs w:val="24"/>
                <w:lang w:val="en-US" w:eastAsia="ru-RU"/>
              </w:rPr>
              <w:t>11</w:t>
            </w:r>
            <w:r>
              <w:rPr>
                <w:rFonts w:ascii="Times New Roman" w:hAnsi="Times New Roman" w:eastAsia="Times New Roman" w:cs="Times New Roman"/>
                <w:b/>
                <w:bCs/>
                <w:color w:val="000000" w:themeColor="text1"/>
                <w:sz w:val="24"/>
                <w:szCs w:val="24"/>
                <w:lang w:val="uk-UA" w:eastAsia="ru-RU"/>
              </w:rPr>
              <w:t>.2</w:t>
            </w:r>
            <w:r>
              <w:rPr>
                <w:rFonts w:ascii="Times New Roman" w:hAnsi="Times New Roman" w:eastAsia="Times New Roman" w:cs="Times New Roman"/>
                <w:b/>
                <w:color w:val="000000" w:themeColor="text1"/>
                <w:sz w:val="24"/>
                <w:szCs w:val="24"/>
                <w:lang w:val="uk-UA" w:eastAsia="ru-RU"/>
              </w:rPr>
              <w:t>023</w:t>
            </w:r>
            <w:r>
              <w:rPr>
                <w:rFonts w:ascii="Times New Roman" w:hAnsi="Times New Roman" w:eastAsia="Times New Roman" w:cs="Times New Roman"/>
                <w:b/>
                <w:color w:val="000000"/>
                <w:sz w:val="24"/>
                <w:szCs w:val="24"/>
                <w:lang w:val="uk-UA" w:eastAsia="ru-RU"/>
              </w:rPr>
              <w:t xml:space="preserve"> року</w:t>
            </w:r>
            <w:r>
              <w:rPr>
                <w:rFonts w:ascii="Times New Roman" w:hAnsi="Times New Roman" w:eastAsia="Times New Roman" w:cs="Times New Roman"/>
                <w:color w:val="000000"/>
                <w:sz w:val="24"/>
                <w:szCs w:val="24"/>
                <w:lang w:val="uk-UA" w:eastAsia="ru-RU"/>
              </w:rPr>
              <w:t xml:space="preserve"> </w:t>
            </w:r>
            <w:bookmarkStart w:id="4" w:name="_GoBack"/>
            <w:bookmarkEnd w:id="4"/>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318C"/>
    <w:rsid w:val="00000C27"/>
    <w:rsid w:val="00005A23"/>
    <w:rsid w:val="00023C17"/>
    <w:rsid w:val="00085185"/>
    <w:rsid w:val="000E2F9C"/>
    <w:rsid w:val="001741B0"/>
    <w:rsid w:val="00196C05"/>
    <w:rsid w:val="002113D2"/>
    <w:rsid w:val="0025286F"/>
    <w:rsid w:val="0027172C"/>
    <w:rsid w:val="0027541B"/>
    <w:rsid w:val="002812B3"/>
    <w:rsid w:val="0030388D"/>
    <w:rsid w:val="00336DCE"/>
    <w:rsid w:val="003B0F78"/>
    <w:rsid w:val="003B638E"/>
    <w:rsid w:val="003C273D"/>
    <w:rsid w:val="00430C5F"/>
    <w:rsid w:val="00436F85"/>
    <w:rsid w:val="0048318C"/>
    <w:rsid w:val="00496F7D"/>
    <w:rsid w:val="004B60E5"/>
    <w:rsid w:val="004F35AC"/>
    <w:rsid w:val="005442C5"/>
    <w:rsid w:val="005A5C1F"/>
    <w:rsid w:val="005B23A0"/>
    <w:rsid w:val="005E2368"/>
    <w:rsid w:val="005F58CF"/>
    <w:rsid w:val="006145DC"/>
    <w:rsid w:val="006225F0"/>
    <w:rsid w:val="00644331"/>
    <w:rsid w:val="00667540"/>
    <w:rsid w:val="006E479A"/>
    <w:rsid w:val="007B026B"/>
    <w:rsid w:val="007B5B82"/>
    <w:rsid w:val="007C35FD"/>
    <w:rsid w:val="00811994"/>
    <w:rsid w:val="00834291"/>
    <w:rsid w:val="00847CA9"/>
    <w:rsid w:val="00854404"/>
    <w:rsid w:val="008721C9"/>
    <w:rsid w:val="008840FE"/>
    <w:rsid w:val="00886B88"/>
    <w:rsid w:val="008E6BBB"/>
    <w:rsid w:val="008F1D10"/>
    <w:rsid w:val="009504E0"/>
    <w:rsid w:val="00967865"/>
    <w:rsid w:val="009A0883"/>
    <w:rsid w:val="009C7B6B"/>
    <w:rsid w:val="009D6432"/>
    <w:rsid w:val="009D7EF2"/>
    <w:rsid w:val="009F6166"/>
    <w:rsid w:val="00A23F3E"/>
    <w:rsid w:val="00A70C44"/>
    <w:rsid w:val="00B14E3E"/>
    <w:rsid w:val="00B64017"/>
    <w:rsid w:val="00B846E3"/>
    <w:rsid w:val="00B878FB"/>
    <w:rsid w:val="00BA0ACA"/>
    <w:rsid w:val="00BB2B00"/>
    <w:rsid w:val="00BC391F"/>
    <w:rsid w:val="00BD2657"/>
    <w:rsid w:val="00CD67D5"/>
    <w:rsid w:val="00E11E4E"/>
    <w:rsid w:val="00E341A4"/>
    <w:rsid w:val="00E47936"/>
    <w:rsid w:val="00EA00FA"/>
    <w:rsid w:val="00EA7E09"/>
    <w:rsid w:val="00EC6A2F"/>
    <w:rsid w:val="00ED3D13"/>
    <w:rsid w:val="00F24EA3"/>
    <w:rsid w:val="00F44487"/>
    <w:rsid w:val="00FD0D1F"/>
    <w:rsid w:val="17DF11AF"/>
    <w:rsid w:val="1C9F206E"/>
    <w:rsid w:val="1FFF6814"/>
    <w:rsid w:val="325F8083"/>
    <w:rsid w:val="3BF3520E"/>
    <w:rsid w:val="3DE76253"/>
    <w:rsid w:val="5FD72A54"/>
    <w:rsid w:val="5FFFA4AD"/>
    <w:rsid w:val="6736F3F9"/>
    <w:rsid w:val="6F7BDA7C"/>
    <w:rsid w:val="73EEE48A"/>
    <w:rsid w:val="75BD644A"/>
    <w:rsid w:val="75EF0C0A"/>
    <w:rsid w:val="BFC7BC9C"/>
    <w:rsid w:val="D5EF3BB4"/>
    <w:rsid w:val="DDCD3275"/>
    <w:rsid w:val="E6E59964"/>
    <w:rsid w:val="EFF9383B"/>
    <w:rsid w:val="F64B448C"/>
    <w:rsid w:val="F73859AA"/>
    <w:rsid w:val="F75AF2A0"/>
    <w:rsid w:val="F7C5A6BF"/>
    <w:rsid w:val="FDB7006C"/>
    <w:rsid w:val="FEBEEEE8"/>
    <w:rsid w:val="FEFBB824"/>
    <w:rsid w:val="FF366689"/>
    <w:rsid w:val="FFFF7B3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34938</Words>
  <Characters>19916</Characters>
  <Lines>165</Lines>
  <Paragraphs>109</Paragraphs>
  <TotalTime>1</TotalTime>
  <ScaleCrop>false</ScaleCrop>
  <LinksUpToDate>false</LinksUpToDate>
  <CharactersWithSpaces>54745</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2023-11-15T16:28:05Z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