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FB" w:rsidRPr="00A36F0A" w:rsidRDefault="007056FB" w:rsidP="007056F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7056FB" w:rsidRPr="00A36F0A" w:rsidRDefault="007056FB" w:rsidP="007056FB">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7056FB" w:rsidRPr="00A36F0A" w:rsidRDefault="007056FB" w:rsidP="007056FB">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7056FB" w:rsidRPr="00A36F0A" w:rsidRDefault="007056FB" w:rsidP="007056FB">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7056FB" w:rsidRPr="00070998" w:rsidRDefault="007056FB" w:rsidP="00705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7056FB" w:rsidRPr="00070998" w:rsidRDefault="007056FB" w:rsidP="007056FB">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7056FB" w:rsidRPr="00070998" w:rsidRDefault="007056FB" w:rsidP="007056FB">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7056FB" w:rsidRPr="00070998" w:rsidRDefault="007056FB" w:rsidP="007056FB">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7056FB" w:rsidRPr="00070998" w:rsidRDefault="007056FB" w:rsidP="007056FB">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7056FB"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056FB" w:rsidRPr="003A5153"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7056FB" w:rsidRPr="003A5153" w:rsidRDefault="007056FB" w:rsidP="007056FB">
      <w:pPr>
        <w:shd w:val="clear" w:color="auto" w:fill="FFFFFF"/>
        <w:tabs>
          <w:tab w:val="left" w:pos="446"/>
        </w:tabs>
        <w:suppressAutoHyphens/>
        <w:spacing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послуги </w:t>
      </w:r>
      <w:r w:rsidRPr="0063539A">
        <w:rPr>
          <w:rFonts w:ascii="Times New Roman" w:eastAsia="Times New Roman" w:hAnsi="Times New Roman" w:cs="Times New Roman"/>
          <w:sz w:val="24"/>
          <w:szCs w:val="24"/>
          <w:lang w:eastAsia="ar-SA"/>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7056FB"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056FB" w:rsidRPr="00070998"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7056FB" w:rsidRPr="00AE34EB"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7056FB" w:rsidRPr="00AE34EB"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rsidR="007056FB"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056FB" w:rsidRPr="00070998"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7056FB" w:rsidRPr="00070998" w:rsidRDefault="007056FB" w:rsidP="007056FB">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7056FB"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7056FB" w:rsidRPr="00070998" w:rsidRDefault="007056FB" w:rsidP="007056FB">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4.4. При виникненні бюджетних зобов’язань оплата за надану послугу проводиться при наявності та в межах відповідних бюджетних асигнувань;</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7056FB" w:rsidRPr="00070998" w:rsidRDefault="007056FB" w:rsidP="007056F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7056FB" w:rsidRDefault="007056FB" w:rsidP="007056FB">
      <w:pPr>
        <w:suppressAutoHyphens/>
        <w:spacing w:after="0" w:line="240" w:lineRule="auto"/>
        <w:jc w:val="center"/>
        <w:outlineLvl w:val="0"/>
        <w:rPr>
          <w:rFonts w:ascii="Times New Roman" w:eastAsia="Times New Roman" w:hAnsi="Times New Roman" w:cs="Times New Roman"/>
          <w:b/>
          <w:bCs/>
          <w:sz w:val="24"/>
          <w:szCs w:val="24"/>
          <w:lang w:eastAsia="ar-SA"/>
        </w:rPr>
      </w:pPr>
    </w:p>
    <w:p w:rsidR="007056FB" w:rsidRPr="00070998" w:rsidRDefault="007056FB" w:rsidP="007056FB">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7056FB" w:rsidRPr="00070998" w:rsidRDefault="007056FB" w:rsidP="007056F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7056FB" w:rsidRPr="00070998" w:rsidRDefault="007056FB" w:rsidP="007056F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7056FB" w:rsidRPr="00070998" w:rsidRDefault="007056FB" w:rsidP="007056F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56FB" w:rsidRPr="00070998" w:rsidRDefault="007056FB" w:rsidP="007056F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7056FB" w:rsidRPr="00070998" w:rsidRDefault="007056FB" w:rsidP="007056FB">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7056FB" w:rsidRPr="00070998" w:rsidRDefault="007056FB" w:rsidP="007056FB">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7056FB" w:rsidRPr="00070998" w:rsidRDefault="007056FB" w:rsidP="007056FB">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7056FB" w:rsidRDefault="007056FB" w:rsidP="007056FB">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7056FB" w:rsidRPr="00070998" w:rsidRDefault="007056FB" w:rsidP="007056FB">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7056FB" w:rsidRPr="00070998" w:rsidRDefault="007056FB" w:rsidP="007056F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7056FB" w:rsidRDefault="007056FB" w:rsidP="007056FB">
      <w:pPr>
        <w:suppressAutoHyphens/>
        <w:spacing w:after="0" w:line="240" w:lineRule="auto"/>
        <w:jc w:val="center"/>
        <w:rPr>
          <w:rFonts w:ascii="Times New Roman" w:eastAsia="Times New Roman" w:hAnsi="Times New Roman" w:cs="Times New Roman"/>
          <w:b/>
          <w:bCs/>
          <w:sz w:val="24"/>
          <w:szCs w:val="24"/>
          <w:lang w:eastAsia="ar-SA"/>
        </w:rPr>
      </w:pPr>
    </w:p>
    <w:p w:rsidR="007056FB" w:rsidRPr="00070998" w:rsidRDefault="007056FB" w:rsidP="007056FB">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7056FB" w:rsidRPr="00070998" w:rsidRDefault="007056FB" w:rsidP="007056F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56FB" w:rsidRPr="00070998" w:rsidRDefault="007056FB" w:rsidP="007056FB">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7056FB" w:rsidRPr="00070998" w:rsidRDefault="007056FB" w:rsidP="007056FB">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7056FB" w:rsidRPr="00070998" w:rsidRDefault="007056FB" w:rsidP="007056F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7056FB" w:rsidRPr="00070998" w:rsidRDefault="007056FB" w:rsidP="007056FB">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7056FB" w:rsidRDefault="007056FB" w:rsidP="007056F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7056FB" w:rsidRDefault="007056FB" w:rsidP="007056F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7056FB" w:rsidRPr="00070998" w:rsidRDefault="007056FB" w:rsidP="007056F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7056FB" w:rsidRPr="00070998" w:rsidRDefault="007056FB" w:rsidP="007056FB">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7056FB" w:rsidRPr="00070998" w:rsidRDefault="007056FB" w:rsidP="007056FB">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7056FB" w:rsidRPr="00070998" w:rsidRDefault="007056FB" w:rsidP="007056FB">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7056FB" w:rsidRDefault="007056FB" w:rsidP="007056FB">
      <w:pPr>
        <w:spacing w:after="0" w:line="240" w:lineRule="auto"/>
        <w:jc w:val="center"/>
        <w:rPr>
          <w:rFonts w:ascii="Times New Roman" w:hAnsi="Times New Roman" w:cs="Times New Roman"/>
          <w:b/>
          <w:bCs/>
          <w:sz w:val="24"/>
          <w:szCs w:val="24"/>
        </w:rPr>
      </w:pPr>
    </w:p>
    <w:p w:rsidR="007056FB" w:rsidRPr="00070998" w:rsidRDefault="007056FB" w:rsidP="007056FB">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7056FB" w:rsidRPr="00070998" w:rsidRDefault="007056FB" w:rsidP="007056F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056FB" w:rsidRPr="00070998" w:rsidRDefault="007056FB" w:rsidP="007056F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056FB" w:rsidRPr="00070998" w:rsidRDefault="007056FB" w:rsidP="007056FB">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7056FB" w:rsidRPr="00070998" w:rsidRDefault="007056FB" w:rsidP="007056FB">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7056FB" w:rsidRPr="00A36F0A" w:rsidRDefault="007056FB" w:rsidP="007056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4CC3">
        <w:rPr>
          <w:rFonts w:ascii="Times New Roman" w:eastAsia="Times New Roman" w:hAnsi="Times New Roman" w:cs="Times New Roman"/>
          <w:sz w:val="24"/>
          <w:szCs w:val="24"/>
          <w:lang w:eastAsia="ru-RU"/>
        </w:rPr>
        <w:t xml:space="preserve">.5. </w:t>
      </w:r>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773"/>
      <w:bookmarkEnd w:id="4"/>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5"/>
      <w:bookmarkEnd w:id="5"/>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6"/>
      <w:bookmarkEnd w:id="6"/>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7"/>
      <w:bookmarkEnd w:id="7"/>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374"/>
      <w:bookmarkStart w:id="9" w:name="n78"/>
      <w:bookmarkEnd w:id="8"/>
      <w:bookmarkEnd w:id="9"/>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79"/>
      <w:bookmarkEnd w:id="10"/>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056FB" w:rsidRPr="008C5EB6"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80"/>
      <w:bookmarkEnd w:id="11"/>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C5EB6">
        <w:rPr>
          <w:rFonts w:ascii="Times New Roman" w:eastAsia="Times New Roman" w:hAnsi="Times New Roman" w:cs="Times New Roman"/>
          <w:sz w:val="24"/>
          <w:szCs w:val="24"/>
          <w:lang w:eastAsia="uk-UA"/>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56FB" w:rsidRPr="00816888" w:rsidRDefault="007056FB" w:rsidP="007056FB">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81"/>
      <w:bookmarkEnd w:id="12"/>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8C5EB6">
          <w:rPr>
            <w:rStyle w:val="a6"/>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статті 41 Закону</w:t>
      </w:r>
      <w:r w:rsidRPr="00816888">
        <w:rPr>
          <w:rFonts w:ascii="Times New Roman" w:hAnsi="Times New Roman" w:cs="Times New Roman"/>
          <w:sz w:val="24"/>
          <w:szCs w:val="24"/>
        </w:rPr>
        <w:t>:</w:t>
      </w:r>
    </w:p>
    <w:p w:rsidR="007056FB" w:rsidRPr="00171707" w:rsidRDefault="007056FB" w:rsidP="007056FB">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Pr="00204CC3">
        <w:rPr>
          <w:rFonts w:ascii="Times New Roman" w:eastAsia="Times New Roman" w:hAnsi="Times New Roman" w:cs="Times New Roman"/>
          <w:sz w:val="24"/>
          <w:szCs w:val="24"/>
          <w:lang w:eastAsia="ru-RU"/>
        </w:rPr>
        <w:t>.</w:t>
      </w:r>
    </w:p>
    <w:p w:rsidR="007056FB" w:rsidRPr="00204CC3" w:rsidRDefault="007056FB" w:rsidP="007056FB">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7056FB" w:rsidRPr="00204CC3" w:rsidRDefault="007056FB" w:rsidP="007056FB">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7056FB" w:rsidRDefault="007056FB" w:rsidP="007056FB">
      <w:pPr>
        <w:suppressAutoHyphens/>
        <w:spacing w:after="0" w:line="240" w:lineRule="auto"/>
        <w:jc w:val="center"/>
        <w:rPr>
          <w:rFonts w:ascii="Times New Roman" w:eastAsia="Times New Roman" w:hAnsi="Times New Roman" w:cs="Times New Roman"/>
          <w:b/>
          <w:sz w:val="24"/>
          <w:szCs w:val="24"/>
          <w:lang w:eastAsia="ar-SA"/>
        </w:rPr>
      </w:pPr>
    </w:p>
    <w:p w:rsidR="007056FB" w:rsidRPr="00070998" w:rsidRDefault="007056FB" w:rsidP="007056FB">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13" w:name="BM107"/>
      <w:bookmarkEnd w:id="13"/>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rsidR="007056FB" w:rsidRPr="00070998" w:rsidRDefault="007056FB" w:rsidP="007056FB">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rsidR="007056FB" w:rsidRDefault="007056FB" w:rsidP="007056FB">
      <w:pPr>
        <w:suppressAutoHyphens/>
        <w:spacing w:after="0" w:line="240" w:lineRule="auto"/>
        <w:jc w:val="center"/>
        <w:rPr>
          <w:rFonts w:ascii="Times New Roman" w:eastAsia="Times New Roman" w:hAnsi="Times New Roman" w:cs="Times New Roman"/>
          <w:b/>
          <w:sz w:val="24"/>
          <w:szCs w:val="24"/>
          <w:lang w:eastAsia="ar-SA"/>
        </w:rPr>
      </w:pPr>
      <w:bookmarkStart w:id="14" w:name="BM108"/>
      <w:bookmarkStart w:id="15" w:name="BM109"/>
      <w:bookmarkStart w:id="16" w:name="BM111"/>
      <w:bookmarkEnd w:id="14"/>
      <w:bookmarkEnd w:id="15"/>
      <w:bookmarkEnd w:id="16"/>
    </w:p>
    <w:p w:rsidR="007056FB" w:rsidRPr="00070998" w:rsidRDefault="007056FB" w:rsidP="007056FB">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rsidR="007056FB" w:rsidRPr="00070998" w:rsidRDefault="007056FB" w:rsidP="007056FB">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7056FB" w:rsidRPr="00070998" w:rsidTr="00043755">
        <w:trPr>
          <w:trHeight w:val="80"/>
        </w:trPr>
        <w:tc>
          <w:tcPr>
            <w:tcW w:w="5246" w:type="dxa"/>
          </w:tcPr>
          <w:p w:rsidR="007056FB" w:rsidRPr="00070998" w:rsidRDefault="007056FB" w:rsidP="00043755">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7056FB" w:rsidRPr="00070998" w:rsidRDefault="007056FB" w:rsidP="00043755">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056FB" w:rsidRPr="00070998" w:rsidTr="00043755">
        <w:tc>
          <w:tcPr>
            <w:tcW w:w="5246" w:type="dxa"/>
          </w:tcPr>
          <w:p w:rsidR="007056FB" w:rsidRPr="00070998" w:rsidRDefault="007056FB" w:rsidP="0004375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rsidR="007056FB" w:rsidRPr="00070998" w:rsidRDefault="007056FB" w:rsidP="00043755">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7056FB" w:rsidRPr="00070998" w:rsidRDefault="007056FB" w:rsidP="00043755">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7056FB"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7056FB" w:rsidRPr="00070998" w:rsidRDefault="007056FB" w:rsidP="007056FB">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7056FB" w:rsidRPr="00070998" w:rsidRDefault="007056FB" w:rsidP="007056FB">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7056FB" w:rsidRDefault="007056FB" w:rsidP="007056FB">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rsidR="007056FB" w:rsidRPr="00705B20" w:rsidRDefault="007056FB" w:rsidP="007056FB">
      <w:pPr>
        <w:widowControl w:val="0"/>
        <w:suppressAutoHyphens/>
        <w:spacing w:line="240" w:lineRule="auto"/>
        <w:contextualSpacing/>
        <w:jc w:val="center"/>
        <w:rPr>
          <w:rFonts w:ascii="Times New Roman" w:eastAsia="Times New Roman" w:hAnsi="Times New Roman" w:cs="Times New Roman"/>
          <w:sz w:val="24"/>
          <w:szCs w:val="24"/>
          <w:lang w:eastAsia="uk-UA"/>
        </w:rPr>
      </w:pPr>
      <w:r w:rsidRPr="00705B20">
        <w:rPr>
          <w:rFonts w:ascii="Times New Roman" w:eastAsia="Times New Roman" w:hAnsi="Times New Roman" w:cs="Times New Roman"/>
          <w:sz w:val="24"/>
          <w:szCs w:val="24"/>
          <w:lang w:eastAsia="uk-UA"/>
        </w:rPr>
        <w:t xml:space="preserve">Послуги </w:t>
      </w:r>
      <w:r w:rsidRPr="00DF67CD">
        <w:rPr>
          <w:rFonts w:ascii="Times New Roman" w:eastAsia="Times New Roman" w:hAnsi="Times New Roman" w:cs="Times New Roman"/>
          <w:sz w:val="24"/>
          <w:szCs w:val="24"/>
          <w:lang w:eastAsia="uk-UA"/>
        </w:rPr>
        <w:t>з проведення лабораторних досліджень питної води на санітарно – хімічні та мікробіологічні показники з об’єктів нагляду (контролю), код ДК 021-2015 (CPV) 71900000-7 - Лабораторні послуги</w:t>
      </w:r>
      <w:r w:rsidRPr="00705B20">
        <w:rPr>
          <w:rFonts w:ascii="Times New Roman" w:hAnsi="Times New Roman" w:cs="Times New Roman"/>
          <w:bCs/>
          <w:sz w:val="24"/>
          <w:szCs w:val="24"/>
        </w:rPr>
        <w:t>.</w:t>
      </w:r>
    </w:p>
    <w:tbl>
      <w:tblPr>
        <w:tblStyle w:val="a3"/>
        <w:tblW w:w="9915" w:type="dxa"/>
        <w:tblLook w:val="01E0" w:firstRow="1" w:lastRow="1" w:firstColumn="1" w:lastColumn="1" w:noHBand="0" w:noVBand="0"/>
      </w:tblPr>
      <w:tblGrid>
        <w:gridCol w:w="612"/>
        <w:gridCol w:w="1892"/>
        <w:gridCol w:w="3077"/>
        <w:gridCol w:w="1266"/>
        <w:gridCol w:w="1534"/>
        <w:gridCol w:w="1534"/>
      </w:tblGrid>
      <w:tr w:rsidR="007056FB" w:rsidRPr="00410AA0" w:rsidTr="00043755">
        <w:trPr>
          <w:trHeight w:val="1141"/>
        </w:trPr>
        <w:tc>
          <w:tcPr>
            <w:tcW w:w="612" w:type="dxa"/>
            <w:vAlign w:val="center"/>
          </w:tcPr>
          <w:p w:rsidR="007056FB" w:rsidRPr="00410AA0" w:rsidRDefault="007056FB" w:rsidP="00043755">
            <w:pPr>
              <w:jc w:val="center"/>
            </w:pPr>
            <w:r w:rsidRPr="00410AA0">
              <w:t>№ п/</w:t>
            </w:r>
            <w:proofErr w:type="spellStart"/>
            <w:r w:rsidRPr="00410AA0">
              <w:t>п</w:t>
            </w:r>
            <w:proofErr w:type="spellEnd"/>
          </w:p>
        </w:tc>
        <w:tc>
          <w:tcPr>
            <w:tcW w:w="1892" w:type="dxa"/>
            <w:vAlign w:val="center"/>
          </w:tcPr>
          <w:p w:rsidR="007056FB" w:rsidRPr="00410AA0" w:rsidRDefault="007056FB" w:rsidP="00043755">
            <w:pPr>
              <w:jc w:val="center"/>
            </w:pPr>
            <w:r w:rsidRPr="00410AA0">
              <w:t>Назва досліджень</w:t>
            </w:r>
          </w:p>
        </w:tc>
        <w:tc>
          <w:tcPr>
            <w:tcW w:w="3077" w:type="dxa"/>
            <w:vAlign w:val="center"/>
          </w:tcPr>
          <w:p w:rsidR="007056FB" w:rsidRPr="00410AA0" w:rsidRDefault="007056FB" w:rsidP="00043755">
            <w:pPr>
              <w:jc w:val="center"/>
            </w:pPr>
            <w:r w:rsidRPr="00410AA0">
              <w:t>Характеристика (показників, параметрів), що визначаються</w:t>
            </w:r>
          </w:p>
        </w:tc>
        <w:tc>
          <w:tcPr>
            <w:tcW w:w="1266" w:type="dxa"/>
            <w:vAlign w:val="center"/>
          </w:tcPr>
          <w:p w:rsidR="007056FB" w:rsidRPr="00410AA0" w:rsidRDefault="007056FB" w:rsidP="00043755">
            <w:pPr>
              <w:suppressAutoHyphens/>
              <w:jc w:val="center"/>
              <w:rPr>
                <w:lang w:eastAsia="ar-SA"/>
              </w:rPr>
            </w:pPr>
            <w:r w:rsidRPr="00410AA0">
              <w:rPr>
                <w:lang w:eastAsia="ar-SA"/>
              </w:rPr>
              <w:t xml:space="preserve">Кількість досліджень на рік (послуг) </w:t>
            </w:r>
          </w:p>
        </w:tc>
        <w:tc>
          <w:tcPr>
            <w:tcW w:w="1534" w:type="dxa"/>
            <w:vAlign w:val="center"/>
          </w:tcPr>
          <w:p w:rsidR="007056FB" w:rsidRPr="00410AA0" w:rsidRDefault="007056FB" w:rsidP="00043755">
            <w:pPr>
              <w:suppressAutoHyphens/>
              <w:jc w:val="center"/>
              <w:rPr>
                <w:lang w:eastAsia="ar-SA"/>
              </w:rPr>
            </w:pPr>
            <w:r w:rsidRPr="00410AA0">
              <w:rPr>
                <w:lang w:eastAsia="ar-SA"/>
              </w:rPr>
              <w:t>Вартість одного дослідження з ПДВ (грн.)</w:t>
            </w:r>
          </w:p>
        </w:tc>
        <w:tc>
          <w:tcPr>
            <w:tcW w:w="1534" w:type="dxa"/>
            <w:vAlign w:val="center"/>
          </w:tcPr>
          <w:p w:rsidR="007056FB" w:rsidRPr="00410AA0" w:rsidRDefault="007056FB" w:rsidP="00043755">
            <w:pPr>
              <w:suppressAutoHyphens/>
              <w:jc w:val="center"/>
              <w:rPr>
                <w:lang w:eastAsia="ar-SA"/>
              </w:rPr>
            </w:pPr>
            <w:r w:rsidRPr="00410AA0">
              <w:rPr>
                <w:lang w:eastAsia="ar-SA"/>
              </w:rPr>
              <w:t>Загальна ціна досліджень (послуг) з ПДВ (грн.)</w:t>
            </w: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1</w:t>
            </w:r>
          </w:p>
        </w:tc>
        <w:tc>
          <w:tcPr>
            <w:tcW w:w="1892" w:type="dxa"/>
            <w:vMerge w:val="restart"/>
            <w:vAlign w:val="center"/>
          </w:tcPr>
          <w:p w:rsidR="007056FB" w:rsidRPr="00410AA0" w:rsidRDefault="007056FB" w:rsidP="00043755">
            <w:pPr>
              <w:suppressAutoHyphens/>
            </w:pPr>
            <w:r w:rsidRPr="00C64DD7">
              <w:rPr>
                <w:lang w:eastAsia="ru-RU"/>
              </w:rPr>
              <w:t>Санітарно-хімічні показники</w:t>
            </w:r>
          </w:p>
        </w:tc>
        <w:tc>
          <w:tcPr>
            <w:tcW w:w="3077" w:type="dxa"/>
            <w:vAlign w:val="center"/>
          </w:tcPr>
          <w:p w:rsidR="007056FB" w:rsidRPr="00410AA0" w:rsidRDefault="007056FB" w:rsidP="00043755">
            <w:pPr>
              <w:suppressAutoHyphens/>
            </w:pPr>
            <w:r w:rsidRPr="00C64DD7">
              <w:rPr>
                <w:color w:val="000000"/>
                <w:lang w:eastAsia="ru-RU"/>
              </w:rPr>
              <w:t>запах</w:t>
            </w:r>
          </w:p>
        </w:tc>
        <w:tc>
          <w:tcPr>
            <w:tcW w:w="1266" w:type="dxa"/>
            <w:vAlign w:val="center"/>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2</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кольоровість</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3</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каламутність</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4</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водневий показник (</w:t>
            </w:r>
            <w:r w:rsidRPr="00C64DD7">
              <w:rPr>
                <w:color w:val="000000"/>
                <w:lang w:val="ru-RU" w:eastAsia="ru-RU"/>
              </w:rPr>
              <w:t>рН</w:t>
            </w:r>
            <w:r w:rsidRPr="00C64DD7">
              <w:rPr>
                <w:color w:val="000000"/>
                <w:lang w:eastAsia="ru-RU"/>
              </w:rPr>
              <w:t>)</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5</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залізо</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6</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жорсткість загальна</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7</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Pr>
                <w:lang w:eastAsia="ru-RU"/>
              </w:rPr>
              <w:t>а</w:t>
            </w:r>
            <w:r w:rsidRPr="00C64DD7">
              <w:rPr>
                <w:lang w:eastAsia="ru-RU"/>
              </w:rPr>
              <w:t>моній</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8</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Pr>
                <w:lang w:eastAsia="ru-RU"/>
              </w:rPr>
              <w:t>н</w:t>
            </w:r>
            <w:r w:rsidRPr="00C64DD7">
              <w:rPr>
                <w:lang w:eastAsia="ru-RU"/>
              </w:rPr>
              <w:t>ітрати</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9</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Pr>
                <w:lang w:eastAsia="ru-RU"/>
              </w:rPr>
              <w:t>н</w:t>
            </w:r>
            <w:r w:rsidRPr="00C64DD7">
              <w:rPr>
                <w:lang w:eastAsia="ru-RU"/>
              </w:rPr>
              <w:t>ітрити</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10</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Pr>
                <w:lang w:eastAsia="ru-RU"/>
              </w:rPr>
              <w:t>о</w:t>
            </w:r>
            <w:r w:rsidRPr="00C64DD7">
              <w:rPr>
                <w:lang w:eastAsia="ru-RU"/>
              </w:rPr>
              <w:t>кислюваність</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11</w:t>
            </w:r>
          </w:p>
        </w:tc>
        <w:tc>
          <w:tcPr>
            <w:tcW w:w="1892" w:type="dxa"/>
            <w:vMerge w:val="restart"/>
            <w:vAlign w:val="center"/>
          </w:tcPr>
          <w:p w:rsidR="007056FB" w:rsidRPr="00410AA0" w:rsidRDefault="007056FB" w:rsidP="00043755">
            <w:pPr>
              <w:suppressAutoHyphens/>
            </w:pPr>
            <w:r w:rsidRPr="00C64DD7">
              <w:rPr>
                <w:lang w:eastAsia="ru-RU"/>
              </w:rPr>
              <w:t>Мікробіологічні показники</w:t>
            </w:r>
          </w:p>
        </w:tc>
        <w:tc>
          <w:tcPr>
            <w:tcW w:w="3077" w:type="dxa"/>
            <w:vAlign w:val="center"/>
          </w:tcPr>
          <w:p w:rsidR="007056FB" w:rsidRPr="00410AA0" w:rsidRDefault="007056FB" w:rsidP="00043755">
            <w:pPr>
              <w:suppressAutoHyphens/>
            </w:pPr>
            <w:r w:rsidRPr="00C64DD7">
              <w:rPr>
                <w:color w:val="000000"/>
                <w:lang w:eastAsia="ru-RU"/>
              </w:rPr>
              <w:t>загальне мікробне</w:t>
            </w:r>
            <w:r w:rsidRPr="00C64DD7">
              <w:rPr>
                <w:color w:val="000000"/>
                <w:lang w:val="ru-RU" w:eastAsia="ru-RU"/>
              </w:rPr>
              <w:t xml:space="preserve"> число при t 37°</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12</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загальні коліформи</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13</w:t>
            </w:r>
          </w:p>
        </w:tc>
        <w:tc>
          <w:tcPr>
            <w:tcW w:w="1892" w:type="dxa"/>
            <w:vMerge/>
            <w:vAlign w:val="center"/>
          </w:tcPr>
          <w:p w:rsidR="007056FB" w:rsidRPr="00410AA0" w:rsidRDefault="007056FB" w:rsidP="00043755">
            <w:pPr>
              <w:suppressAutoHyphens/>
            </w:pPr>
          </w:p>
        </w:tc>
        <w:tc>
          <w:tcPr>
            <w:tcW w:w="3077" w:type="dxa"/>
            <w:vAlign w:val="center"/>
          </w:tcPr>
          <w:p w:rsidR="007056FB" w:rsidRPr="00410AA0" w:rsidRDefault="007056FB" w:rsidP="00043755">
            <w:pPr>
              <w:suppressAutoHyphens/>
            </w:pPr>
            <w:r w:rsidRPr="00C64DD7">
              <w:rPr>
                <w:color w:val="000000"/>
                <w:lang w:eastAsia="ru-RU"/>
              </w:rPr>
              <w:t>Е.со</w:t>
            </w:r>
            <w:r w:rsidRPr="00C64DD7">
              <w:rPr>
                <w:color w:val="000000"/>
                <w:lang w:val="en-US" w:eastAsia="ru-RU"/>
              </w:rPr>
              <w:t>l</w:t>
            </w:r>
            <w:r w:rsidRPr="00C64DD7">
              <w:rPr>
                <w:color w:val="000000"/>
                <w:lang w:eastAsia="ru-RU"/>
              </w:rPr>
              <w:t>і</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612" w:type="dxa"/>
            <w:vAlign w:val="center"/>
          </w:tcPr>
          <w:p w:rsidR="007056FB" w:rsidRPr="00410AA0" w:rsidRDefault="007056FB" w:rsidP="00043755">
            <w:pPr>
              <w:suppressAutoHyphens/>
              <w:jc w:val="center"/>
              <w:rPr>
                <w:lang w:eastAsia="ar-SA"/>
              </w:rPr>
            </w:pPr>
            <w:r w:rsidRPr="00410AA0">
              <w:rPr>
                <w:lang w:eastAsia="ar-SA"/>
              </w:rPr>
              <w:t>14</w:t>
            </w:r>
          </w:p>
        </w:tc>
        <w:tc>
          <w:tcPr>
            <w:tcW w:w="1892" w:type="dxa"/>
            <w:vMerge/>
            <w:vAlign w:val="center"/>
          </w:tcPr>
          <w:p w:rsidR="007056FB" w:rsidRPr="00410AA0" w:rsidRDefault="007056FB" w:rsidP="00043755">
            <w:pPr>
              <w:suppressAutoHyphens/>
              <w:rPr>
                <w:lang w:eastAsia="ar-SA"/>
              </w:rPr>
            </w:pPr>
          </w:p>
        </w:tc>
        <w:tc>
          <w:tcPr>
            <w:tcW w:w="3077" w:type="dxa"/>
            <w:vAlign w:val="center"/>
          </w:tcPr>
          <w:p w:rsidR="007056FB" w:rsidRPr="00410AA0" w:rsidRDefault="007056FB" w:rsidP="00043755">
            <w:pPr>
              <w:suppressAutoHyphens/>
              <w:rPr>
                <w:lang w:eastAsia="ar-SA"/>
              </w:rPr>
            </w:pPr>
            <w:r w:rsidRPr="00C64DD7">
              <w:rPr>
                <w:color w:val="000000"/>
                <w:lang w:eastAsia="ru-RU"/>
              </w:rPr>
              <w:t>ентерококи</w:t>
            </w:r>
          </w:p>
        </w:tc>
        <w:tc>
          <w:tcPr>
            <w:tcW w:w="1266" w:type="dxa"/>
          </w:tcPr>
          <w:p w:rsidR="007056FB" w:rsidRPr="00410AA0" w:rsidRDefault="007056FB" w:rsidP="00043755">
            <w:pPr>
              <w:suppressAutoHyphens/>
              <w:jc w:val="center"/>
              <w:rPr>
                <w:lang w:eastAsia="ar-SA"/>
              </w:rPr>
            </w:pPr>
            <w:r w:rsidRPr="00410AA0">
              <w:rPr>
                <w:lang w:eastAsia="ar-SA"/>
              </w:rPr>
              <w:t>175</w:t>
            </w:r>
          </w:p>
        </w:tc>
        <w:tc>
          <w:tcPr>
            <w:tcW w:w="1534" w:type="dxa"/>
            <w:vAlign w:val="center"/>
          </w:tcPr>
          <w:p w:rsidR="007056FB" w:rsidRPr="00410AA0" w:rsidRDefault="007056FB" w:rsidP="00043755">
            <w:pPr>
              <w:suppressAutoHyphens/>
              <w:jc w:val="center"/>
              <w:rPr>
                <w:lang w:eastAsia="ar-SA"/>
              </w:rPr>
            </w:pPr>
          </w:p>
        </w:tc>
        <w:tc>
          <w:tcPr>
            <w:tcW w:w="1534" w:type="dxa"/>
            <w:vAlign w:val="center"/>
          </w:tcPr>
          <w:p w:rsidR="007056FB" w:rsidRPr="00410AA0" w:rsidRDefault="007056FB" w:rsidP="00043755">
            <w:pPr>
              <w:suppressAutoHyphens/>
              <w:jc w:val="center"/>
              <w:rPr>
                <w:lang w:eastAsia="ar-SA"/>
              </w:rPr>
            </w:pPr>
          </w:p>
        </w:tc>
      </w:tr>
      <w:tr w:rsidR="007056FB" w:rsidRPr="00410AA0" w:rsidTr="00043755">
        <w:trPr>
          <w:trHeight w:val="228"/>
        </w:trPr>
        <w:tc>
          <w:tcPr>
            <w:tcW w:w="8381" w:type="dxa"/>
            <w:gridSpan w:val="5"/>
          </w:tcPr>
          <w:p w:rsidR="007056FB" w:rsidRPr="00410AA0" w:rsidRDefault="007056FB" w:rsidP="00043755">
            <w:r w:rsidRPr="00410AA0">
              <w:t>Вартість без ПДВ, грн.</w:t>
            </w:r>
          </w:p>
        </w:tc>
        <w:tc>
          <w:tcPr>
            <w:tcW w:w="1534" w:type="dxa"/>
          </w:tcPr>
          <w:p w:rsidR="007056FB" w:rsidRPr="00410AA0" w:rsidRDefault="007056FB" w:rsidP="00043755">
            <w:pPr>
              <w:suppressAutoHyphens/>
              <w:rPr>
                <w:lang w:eastAsia="ar-SA"/>
              </w:rPr>
            </w:pPr>
          </w:p>
        </w:tc>
      </w:tr>
      <w:tr w:rsidR="007056FB" w:rsidRPr="00410AA0" w:rsidTr="00043755">
        <w:trPr>
          <w:trHeight w:val="217"/>
        </w:trPr>
        <w:tc>
          <w:tcPr>
            <w:tcW w:w="8381" w:type="dxa"/>
            <w:gridSpan w:val="5"/>
          </w:tcPr>
          <w:p w:rsidR="007056FB" w:rsidRPr="00410AA0" w:rsidRDefault="007056FB" w:rsidP="00043755">
            <w:r w:rsidRPr="00410AA0">
              <w:t>ПДВ, грн.</w:t>
            </w:r>
          </w:p>
        </w:tc>
        <w:tc>
          <w:tcPr>
            <w:tcW w:w="1534" w:type="dxa"/>
          </w:tcPr>
          <w:p w:rsidR="007056FB" w:rsidRPr="00410AA0" w:rsidRDefault="007056FB" w:rsidP="00043755">
            <w:pPr>
              <w:suppressAutoHyphens/>
              <w:rPr>
                <w:lang w:eastAsia="ar-SA"/>
              </w:rPr>
            </w:pPr>
          </w:p>
        </w:tc>
      </w:tr>
      <w:tr w:rsidR="007056FB" w:rsidRPr="00410AA0" w:rsidTr="00043755">
        <w:trPr>
          <w:trHeight w:val="240"/>
        </w:trPr>
        <w:tc>
          <w:tcPr>
            <w:tcW w:w="8381" w:type="dxa"/>
            <w:gridSpan w:val="5"/>
          </w:tcPr>
          <w:p w:rsidR="007056FB" w:rsidRPr="00410AA0" w:rsidRDefault="007056FB" w:rsidP="00043755">
            <w:r w:rsidRPr="00410AA0">
              <w:t>Загальна вартість з ПДВ, грн.</w:t>
            </w:r>
          </w:p>
        </w:tc>
        <w:tc>
          <w:tcPr>
            <w:tcW w:w="1534" w:type="dxa"/>
          </w:tcPr>
          <w:p w:rsidR="007056FB" w:rsidRPr="00410AA0" w:rsidRDefault="007056FB" w:rsidP="00043755">
            <w:pPr>
              <w:suppressAutoHyphens/>
              <w:rPr>
                <w:lang w:eastAsia="ar-SA"/>
              </w:rPr>
            </w:pPr>
          </w:p>
        </w:tc>
      </w:tr>
    </w:tbl>
    <w:p w:rsidR="007056FB" w:rsidRDefault="007056FB" w:rsidP="007056FB">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7056FB" w:rsidRDefault="007056FB" w:rsidP="007056FB">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7056FB" w:rsidRDefault="007056FB" w:rsidP="007056FB">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7056FB" w:rsidRDefault="007056FB" w:rsidP="007056F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7056FB" w:rsidRDefault="007056FB" w:rsidP="007056FB">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7056FB" w:rsidRPr="001909AA" w:rsidRDefault="007056FB" w:rsidP="007056FB">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7056FB" w:rsidRPr="00070998" w:rsidTr="00043755">
        <w:trPr>
          <w:trHeight w:val="80"/>
        </w:trPr>
        <w:tc>
          <w:tcPr>
            <w:tcW w:w="5246" w:type="dxa"/>
          </w:tcPr>
          <w:p w:rsidR="007056FB" w:rsidRPr="00070998" w:rsidRDefault="007056FB" w:rsidP="00043755">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7056FB" w:rsidRPr="00070998" w:rsidRDefault="007056FB" w:rsidP="00043755">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7056FB" w:rsidRPr="00070998" w:rsidTr="00043755">
        <w:tc>
          <w:tcPr>
            <w:tcW w:w="5246" w:type="dxa"/>
          </w:tcPr>
          <w:p w:rsidR="007056FB" w:rsidRPr="00070998" w:rsidRDefault="007056FB" w:rsidP="00043755">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7056FB" w:rsidRPr="00070998" w:rsidRDefault="007056FB" w:rsidP="00043755">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7056FB" w:rsidRDefault="007056FB" w:rsidP="007056FB">
      <w:pPr>
        <w:spacing w:after="0" w:line="240" w:lineRule="auto"/>
        <w:rPr>
          <w:rFonts w:ascii="Times New Roman" w:eastAsia="Times New Roman" w:hAnsi="Times New Roman" w:cs="Times New Roman"/>
          <w:sz w:val="24"/>
          <w:szCs w:val="24"/>
          <w:lang w:eastAsia="ru-RU"/>
        </w:rPr>
      </w:pPr>
    </w:p>
    <w:p w:rsidR="00A40C94" w:rsidRDefault="007056FB">
      <w:bookmarkStart w:id="17" w:name="_GoBack"/>
      <w:bookmarkEnd w:id="17"/>
    </w:p>
    <w:sectPr w:rsidR="00A40C94"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7056FB">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9"/>
    <w:rsid w:val="00306D02"/>
    <w:rsid w:val="007056FB"/>
    <w:rsid w:val="008B0B09"/>
    <w:rsid w:val="00AF0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6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056F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7056FB"/>
  </w:style>
  <w:style w:type="character" w:styleId="a6">
    <w:name w:val="Hyperlink"/>
    <w:basedOn w:val="a0"/>
    <w:uiPriority w:val="99"/>
    <w:unhideWhenUsed/>
    <w:rsid w:val="007056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56FB"/>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056FB"/>
    <w:pPr>
      <w:tabs>
        <w:tab w:val="center" w:pos="4819"/>
        <w:tab w:val="right" w:pos="9639"/>
      </w:tabs>
      <w:spacing w:after="0" w:line="240" w:lineRule="auto"/>
    </w:pPr>
  </w:style>
  <w:style w:type="character" w:customStyle="1" w:styleId="a5">
    <w:name w:val="Нижний колонтитул Знак"/>
    <w:basedOn w:val="a0"/>
    <w:link w:val="a4"/>
    <w:uiPriority w:val="99"/>
    <w:rsid w:val="007056FB"/>
  </w:style>
  <w:style w:type="character" w:styleId="a6">
    <w:name w:val="Hyperlink"/>
    <w:basedOn w:val="a0"/>
    <w:uiPriority w:val="99"/>
    <w:unhideWhenUsed/>
    <w:rsid w:val="00705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8741</Words>
  <Characters>4983</Characters>
  <Application>Microsoft Office Word</Application>
  <DocSecurity>0</DocSecurity>
  <Lines>41</Lines>
  <Paragraphs>27</Paragraphs>
  <ScaleCrop>false</ScaleCrop>
  <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2023-05-12T09:53:00Z</dcterms:created>
  <dcterms:modified xsi:type="dcterms:W3CDTF">2023-05-12T09:54:00Z</dcterms:modified>
</cp:coreProperties>
</file>